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994FF" w14:textId="53884131" w:rsidR="00AE7F17" w:rsidRDefault="004154E0">
      <w:r>
        <w:t>Gimnazija „Matija Mesić“</w:t>
      </w:r>
    </w:p>
    <w:p w14:paraId="2CAEED26" w14:textId="7D0C49D6" w:rsidR="004154E0" w:rsidRDefault="004154E0">
      <w:r>
        <w:t>Slavonski Brod</w:t>
      </w:r>
    </w:p>
    <w:p w14:paraId="4DCCA1CC" w14:textId="7AAD9B89" w:rsidR="004154E0" w:rsidRDefault="00AE7F17">
      <w:r>
        <w:t>U S</w:t>
      </w:r>
      <w:r w:rsidR="005A7C2C">
        <w:t>lavonsk</w:t>
      </w:r>
      <w:r>
        <w:t>om</w:t>
      </w:r>
      <w:r w:rsidR="005A7C2C">
        <w:t xml:space="preserve"> Brod</w:t>
      </w:r>
      <w:r>
        <w:t>u</w:t>
      </w:r>
      <w:r w:rsidR="005A7C2C">
        <w:t>, 28</w:t>
      </w:r>
      <w:r w:rsidR="007C366C">
        <w:t>. siječnja 2021</w:t>
      </w:r>
      <w:bookmarkStart w:id="0" w:name="_GoBack"/>
      <w:bookmarkEnd w:id="0"/>
      <w:r w:rsidR="004154E0">
        <w:t>.g.</w:t>
      </w:r>
    </w:p>
    <w:p w14:paraId="3E67E487" w14:textId="77777777" w:rsidR="004154E0" w:rsidRPr="001A6A26" w:rsidRDefault="004154E0" w:rsidP="001A6A26">
      <w:pPr>
        <w:jc w:val="center"/>
        <w:rPr>
          <w:b/>
        </w:rPr>
      </w:pPr>
    </w:p>
    <w:p w14:paraId="32B6EB95" w14:textId="75D673B5" w:rsidR="004154E0" w:rsidRDefault="004154E0" w:rsidP="00AE7F17">
      <w:pPr>
        <w:jc w:val="center"/>
        <w:rPr>
          <w:b/>
        </w:rPr>
      </w:pPr>
      <w:r w:rsidRPr="001A6A26">
        <w:rPr>
          <w:b/>
        </w:rPr>
        <w:t>BILJEŠKE UZ FINANCIJSKE IZVJEŠTAJE ZA RAZDOBLJE</w:t>
      </w:r>
    </w:p>
    <w:p w14:paraId="3F21D9D8" w14:textId="41D44A1A" w:rsidR="00A765F3" w:rsidRPr="001A6A26" w:rsidRDefault="00A765F3" w:rsidP="00AE7F17">
      <w:pPr>
        <w:jc w:val="center"/>
        <w:rPr>
          <w:b/>
        </w:rPr>
      </w:pPr>
      <w:r>
        <w:rPr>
          <w:b/>
        </w:rPr>
        <w:t>OD 1. SIJEČNJA DO 31. PROSINCA 2020.G.</w:t>
      </w:r>
    </w:p>
    <w:p w14:paraId="5DE52462" w14:textId="77777777" w:rsidR="0098677A" w:rsidRPr="00B20C9F" w:rsidRDefault="0098677A" w:rsidP="00B20C9F">
      <w:pPr>
        <w:ind w:left="360"/>
        <w:jc w:val="center"/>
        <w:rPr>
          <w:b/>
        </w:rPr>
      </w:pPr>
    </w:p>
    <w:p w14:paraId="3AB19F50" w14:textId="77777777" w:rsidR="004154E0" w:rsidRDefault="004154E0" w:rsidP="001A6A26">
      <w:pPr>
        <w:spacing w:after="0"/>
      </w:pPr>
      <w:r>
        <w:t>Broj RKP-a: 17763</w:t>
      </w:r>
    </w:p>
    <w:p w14:paraId="4B39A67D" w14:textId="77777777" w:rsidR="004154E0" w:rsidRDefault="004154E0" w:rsidP="001A6A26">
      <w:pPr>
        <w:spacing w:after="0"/>
      </w:pPr>
      <w:r>
        <w:t>Matični broj: 03776433</w:t>
      </w:r>
    </w:p>
    <w:p w14:paraId="7DB4EEDC" w14:textId="77777777" w:rsidR="004154E0" w:rsidRDefault="004154E0" w:rsidP="001A6A26">
      <w:pPr>
        <w:spacing w:after="0"/>
      </w:pPr>
      <w:r>
        <w:t>OIB: 45966285848</w:t>
      </w:r>
    </w:p>
    <w:p w14:paraId="213C6BE1" w14:textId="77777777" w:rsidR="004154E0" w:rsidRDefault="004154E0" w:rsidP="001A6A26">
      <w:pPr>
        <w:spacing w:after="0"/>
      </w:pPr>
      <w:r>
        <w:t>Naziv i adresa obveznika: Gimnazija „Matija Mesić“, Naselje Slavonija I, br.8, Slavonski Brod</w:t>
      </w:r>
    </w:p>
    <w:p w14:paraId="26035741" w14:textId="77777777" w:rsidR="004154E0" w:rsidRDefault="004154E0" w:rsidP="001A6A26">
      <w:pPr>
        <w:spacing w:after="0"/>
      </w:pPr>
      <w:r>
        <w:t>Oznaka razine: 31</w:t>
      </w:r>
    </w:p>
    <w:p w14:paraId="69371B26" w14:textId="77777777" w:rsidR="004154E0" w:rsidRDefault="004154E0" w:rsidP="001A6A26">
      <w:pPr>
        <w:spacing w:after="0"/>
      </w:pPr>
      <w:r>
        <w:t>Šifra djelatnosti: 8531</w:t>
      </w:r>
    </w:p>
    <w:p w14:paraId="02196609" w14:textId="77777777" w:rsidR="004154E0" w:rsidRDefault="004154E0" w:rsidP="001A6A26">
      <w:pPr>
        <w:spacing w:after="0"/>
      </w:pPr>
      <w:r>
        <w:t>Razdjel: 000</w:t>
      </w:r>
    </w:p>
    <w:p w14:paraId="236C29F5" w14:textId="77777777" w:rsidR="004154E0" w:rsidRDefault="004154E0" w:rsidP="001A6A26">
      <w:pPr>
        <w:spacing w:after="0"/>
      </w:pPr>
      <w:r>
        <w:t>Šifra županije/grada/općine: 396</w:t>
      </w:r>
    </w:p>
    <w:p w14:paraId="079268D0" w14:textId="77777777" w:rsidR="004154E0" w:rsidRDefault="004154E0" w:rsidP="001A6A26">
      <w:pPr>
        <w:spacing w:after="0"/>
      </w:pPr>
      <w:r>
        <w:t>Žiro račun: Brodsko-posavska županija</w:t>
      </w:r>
    </w:p>
    <w:p w14:paraId="16CB9EA6" w14:textId="77777777" w:rsidR="004154E0" w:rsidRDefault="004154E0" w:rsidP="004154E0"/>
    <w:p w14:paraId="1C920ACB" w14:textId="49E01D3A" w:rsidR="0098677A" w:rsidRDefault="004154E0" w:rsidP="004154E0">
      <w:r>
        <w:t xml:space="preserve">Godišnji financijski izvještaji Gimnazije „Matija Mesić“ sastavljeni su nakon što su proknjižene sve poslovne promjene, događaji i transakcije za razdoblje siječanj – prosinac </w:t>
      </w:r>
      <w:r w:rsidR="005A7C2C">
        <w:t>2020</w:t>
      </w:r>
      <w:r w:rsidR="006B4C63">
        <w:t>.</w:t>
      </w:r>
      <w:r>
        <w:t xml:space="preserve">, nakon što su knjiženja obavljena pravilno i ažurno temeljem vjerodostojne knjigovodstvene dokumentacije prema propisanom </w:t>
      </w:r>
      <w:r w:rsidR="00A765F3">
        <w:t>r</w:t>
      </w:r>
      <w:r>
        <w:t>ačunskom planu i u skladu s financijskim planom odobrenim od nadležnih tijela. Izvještaji su sastavljeni i predat će se prema odredbama Pravilnika o financijskom izvještavanju u proračunskom računovodstvu (Narodne novine br. 03/1</w:t>
      </w:r>
      <w:r w:rsidR="005A7C2C">
        <w:t xml:space="preserve">5, 93/15, 135/15, 2/17, 28/17, </w:t>
      </w:r>
      <w:r>
        <w:t>112/18</w:t>
      </w:r>
      <w:r w:rsidR="005A7C2C">
        <w:t xml:space="preserve"> i 126/19</w:t>
      </w:r>
      <w:r>
        <w:t xml:space="preserve">) u </w:t>
      </w:r>
      <w:r w:rsidR="00874584">
        <w:t>zakonom</w:t>
      </w:r>
      <w:r>
        <w:t xml:space="preserve"> određenim rokovima što za proračunske korisnike jedinica lokalne i područne</w:t>
      </w:r>
      <w:r w:rsidR="005A7C2C">
        <w:t xml:space="preserve"> samouprave znači predaju do 1. veljače 2021</w:t>
      </w:r>
      <w:r>
        <w:t xml:space="preserve">. godine. </w:t>
      </w:r>
      <w:r w:rsidR="005A7C2C">
        <w:t>Sukladno čl. 4. navedenog Pravilnika, z</w:t>
      </w:r>
      <w:r>
        <w:t>a sastavljanje</w:t>
      </w:r>
      <w:r w:rsidR="005A7C2C">
        <w:t xml:space="preserve"> financijskih izvještaja odgovorna je voditeljica računovodstva Irena Zmaić </w:t>
      </w:r>
      <w:proofErr w:type="spellStart"/>
      <w:r w:rsidR="005A7C2C">
        <w:t>Čarapina</w:t>
      </w:r>
      <w:proofErr w:type="spellEnd"/>
      <w:r w:rsidR="005A7C2C">
        <w:t xml:space="preserve">, </w:t>
      </w:r>
      <w:proofErr w:type="spellStart"/>
      <w:r w:rsidR="005A7C2C">
        <w:t>dipl.oec</w:t>
      </w:r>
      <w:proofErr w:type="spellEnd"/>
      <w:r w:rsidR="005A7C2C">
        <w:t>., dok odgovorna osoba škole, v.d. ravnatelja Ines Martinović, prof</w:t>
      </w:r>
      <w:r w:rsidR="00874584">
        <w:t>.</w:t>
      </w:r>
      <w:r w:rsidR="005A7C2C">
        <w:t xml:space="preserve"> mat.</w:t>
      </w:r>
      <w:r w:rsidR="00874584">
        <w:t xml:space="preserve"> </w:t>
      </w:r>
      <w:r w:rsidR="005A7C2C">
        <w:t xml:space="preserve">inf. potpisuje financijske izvještaje i odgovorna je za predaju istih. </w:t>
      </w:r>
    </w:p>
    <w:p w14:paraId="29B4C1F9" w14:textId="77777777" w:rsidR="00494FF0" w:rsidRPr="001A6A26" w:rsidRDefault="00494FF0" w:rsidP="001A6A26">
      <w:pPr>
        <w:jc w:val="center"/>
        <w:rPr>
          <w:b/>
        </w:rPr>
      </w:pPr>
      <w:r w:rsidRPr="001A6A26">
        <w:rPr>
          <w:b/>
        </w:rPr>
        <w:t>Bilješke uz Obrazac BILANCA</w:t>
      </w:r>
    </w:p>
    <w:p w14:paraId="16823817" w14:textId="77777777" w:rsidR="00681BD0" w:rsidRDefault="00057696" w:rsidP="004154E0">
      <w:r w:rsidRPr="001A6A26">
        <w:rPr>
          <w:b/>
        </w:rPr>
        <w:t>Bilješka broj 1</w:t>
      </w:r>
      <w:r w:rsidR="00681BD0" w:rsidRPr="001A6A26">
        <w:rPr>
          <w:b/>
        </w:rPr>
        <w:t xml:space="preserve"> – AOP 0</w:t>
      </w:r>
      <w:r w:rsidR="00097027" w:rsidRPr="001A6A26">
        <w:rPr>
          <w:b/>
        </w:rPr>
        <w:t>73</w:t>
      </w:r>
      <w:r w:rsidR="00681BD0" w:rsidRPr="001A6A26">
        <w:rPr>
          <w:b/>
        </w:rPr>
        <w:t xml:space="preserve"> – </w:t>
      </w:r>
      <w:r w:rsidR="00097027" w:rsidRPr="001A6A26">
        <w:rPr>
          <w:b/>
        </w:rPr>
        <w:t xml:space="preserve">Depoziti, </w:t>
      </w:r>
      <w:proofErr w:type="spellStart"/>
      <w:r w:rsidR="00097027" w:rsidRPr="001A6A26">
        <w:rPr>
          <w:b/>
        </w:rPr>
        <w:t>jamčevni</w:t>
      </w:r>
      <w:proofErr w:type="spellEnd"/>
      <w:r w:rsidR="00097027" w:rsidRPr="001A6A26">
        <w:rPr>
          <w:b/>
        </w:rPr>
        <w:t xml:space="preserve"> </w:t>
      </w:r>
      <w:proofErr w:type="spellStart"/>
      <w:r w:rsidR="00097027" w:rsidRPr="001A6A26">
        <w:rPr>
          <w:b/>
        </w:rPr>
        <w:t>polozi</w:t>
      </w:r>
      <w:proofErr w:type="spellEnd"/>
      <w:r w:rsidR="00097027" w:rsidRPr="001A6A26">
        <w:rPr>
          <w:b/>
        </w:rPr>
        <w:t xml:space="preserve"> i potraživanja od zaposlenih te za više plaćene poreze i ostalo</w:t>
      </w:r>
      <w:r w:rsidR="00097027">
        <w:t xml:space="preserve"> -</w:t>
      </w:r>
      <w:r w:rsidR="00681BD0">
        <w:t xml:space="preserve"> Vrijednost ostalih po</w:t>
      </w:r>
      <w:r w:rsidR="007C7960">
        <w:t>traživanja povećana je za 84</w:t>
      </w:r>
      <w:r w:rsidR="00097027">
        <w:t>%</w:t>
      </w:r>
      <w:r w:rsidR="00681BD0">
        <w:t xml:space="preserve"> </w:t>
      </w:r>
      <w:r w:rsidR="00813177">
        <w:t xml:space="preserve"> i odnosi se na potraživ</w:t>
      </w:r>
      <w:r w:rsidR="00916F98">
        <w:t>anja za bolovanja preko HZZO-a</w:t>
      </w:r>
      <w:r w:rsidR="007C7960">
        <w:t xml:space="preserve"> za 2020.g. koja nisu zatvorena.</w:t>
      </w:r>
    </w:p>
    <w:p w14:paraId="1CAE7A89" w14:textId="77777777" w:rsidR="00E9393D" w:rsidRPr="00D027DC" w:rsidRDefault="00D027DC" w:rsidP="004154E0">
      <w:r w:rsidRPr="001A6A26">
        <w:rPr>
          <w:b/>
        </w:rPr>
        <w:t xml:space="preserve">Bilješka broj 2 -  AOP </w:t>
      </w:r>
      <w:r>
        <w:rPr>
          <w:b/>
        </w:rPr>
        <w:t>144</w:t>
      </w:r>
      <w:r w:rsidRPr="001A6A26">
        <w:rPr>
          <w:b/>
        </w:rPr>
        <w:t xml:space="preserve"> Potraživanja za </w:t>
      </w:r>
      <w:r>
        <w:rPr>
          <w:b/>
        </w:rPr>
        <w:t xml:space="preserve">pomoći iz inozemstva i od subjekata unutar općeg proračuna – </w:t>
      </w:r>
      <w:r w:rsidRPr="00D027DC">
        <w:t>Riječ je o potraživanjima za pomoći iz državnog proračuna temeljem prijenosa EU sredstava koja su povećana za 1462,2% zbog uplać</w:t>
      </w:r>
      <w:r w:rsidR="00153549">
        <w:t>enih sredstava temeljem Erasmus</w:t>
      </w:r>
      <w:r w:rsidRPr="00D027DC">
        <w:t>+ projekta</w:t>
      </w:r>
      <w:r>
        <w:t>.</w:t>
      </w:r>
      <w:r w:rsidRPr="00D027DC">
        <w:t xml:space="preserve"> </w:t>
      </w:r>
    </w:p>
    <w:p w14:paraId="6C9FABBD" w14:textId="03B7BED7" w:rsidR="00EA1EBD" w:rsidRDefault="00153549" w:rsidP="004154E0">
      <w:r>
        <w:rPr>
          <w:b/>
        </w:rPr>
        <w:t>Bilješka broj 3</w:t>
      </w:r>
      <w:r w:rsidR="00057696" w:rsidRPr="001A6A26">
        <w:rPr>
          <w:b/>
        </w:rPr>
        <w:t xml:space="preserve"> -  </w:t>
      </w:r>
      <w:r w:rsidR="00097027" w:rsidRPr="001A6A26">
        <w:rPr>
          <w:b/>
        </w:rPr>
        <w:t xml:space="preserve">AOP </w:t>
      </w:r>
      <w:r w:rsidR="00D14306">
        <w:rPr>
          <w:b/>
        </w:rPr>
        <w:t>155</w:t>
      </w:r>
      <w:r w:rsidR="00097027" w:rsidRPr="001A6A26">
        <w:rPr>
          <w:b/>
        </w:rPr>
        <w:t xml:space="preserve"> P</w:t>
      </w:r>
      <w:r w:rsidR="008C1A18" w:rsidRPr="001A6A26">
        <w:rPr>
          <w:b/>
        </w:rPr>
        <w:t>otraž</w:t>
      </w:r>
      <w:r w:rsidR="00EA1EBD" w:rsidRPr="001A6A26">
        <w:rPr>
          <w:b/>
        </w:rPr>
        <w:t>ivanja za prihode iz proračuna</w:t>
      </w:r>
      <w:r w:rsidR="00097027">
        <w:t xml:space="preserve"> – navedena potraživanja predstavljaju stanje </w:t>
      </w:r>
      <w:proofErr w:type="spellStart"/>
      <w:r w:rsidR="00097027">
        <w:t>podračuna</w:t>
      </w:r>
      <w:proofErr w:type="spellEnd"/>
      <w:r w:rsidR="00097027">
        <w:t xml:space="preserve"> u županijskoj riznici koje iznosi </w:t>
      </w:r>
      <w:r w:rsidR="00D14306">
        <w:t>280.694</w:t>
      </w:r>
      <w:r w:rsidR="001A6A26">
        <w:t xml:space="preserve"> </w:t>
      </w:r>
      <w:r w:rsidR="00097027">
        <w:t xml:space="preserve">kn </w:t>
      </w:r>
      <w:r w:rsidR="00D14306">
        <w:t>koje je raspoloživo u sljedećem razdoblju. S</w:t>
      </w:r>
      <w:r w:rsidR="00097027">
        <w:t xml:space="preserve">učeljavanjem </w:t>
      </w:r>
      <w:r w:rsidR="00D14306">
        <w:t xml:space="preserve">navedenih sredstava s raspoloživim sredstvima iz EU projekata (191.091 kn na AOP-u 151) </w:t>
      </w:r>
      <w:r w:rsidR="00097027">
        <w:t>dolazimo do iznosa</w:t>
      </w:r>
      <w:r w:rsidR="00D14306">
        <w:t xml:space="preserve"> od 471.785 kn</w:t>
      </w:r>
      <w:r w:rsidR="00097027">
        <w:t xml:space="preserve"> raspoloživog u budućem razdoblju </w:t>
      </w:r>
      <w:r w:rsidR="00813177">
        <w:t>koji</w:t>
      </w:r>
      <w:r w:rsidR="00097027">
        <w:t xml:space="preserve"> će se koristiti u daljnjoj analizi </w:t>
      </w:r>
      <w:r w:rsidR="00883B8D">
        <w:t xml:space="preserve">financijskog rezultata </w:t>
      </w:r>
      <w:r w:rsidR="00097027">
        <w:t xml:space="preserve">u sklopu bilješki uz obrazac PR-RAS. </w:t>
      </w:r>
    </w:p>
    <w:p w14:paraId="448C66EC" w14:textId="3BD404AF" w:rsidR="00D1738B" w:rsidRDefault="00D14306" w:rsidP="004154E0">
      <w:r>
        <w:rPr>
          <w:b/>
        </w:rPr>
        <w:t xml:space="preserve">Bilješka broj 4 - </w:t>
      </w:r>
      <w:r w:rsidR="008C1A18" w:rsidRPr="001A6A26">
        <w:rPr>
          <w:b/>
        </w:rPr>
        <w:t xml:space="preserve">Obvezna bilješka uz Bilancu </w:t>
      </w:r>
      <w:r w:rsidR="008C1A18" w:rsidRPr="00D14306">
        <w:t>–</w:t>
      </w:r>
      <w:r w:rsidRPr="00D14306">
        <w:t xml:space="preserve"> Popis sudskih sporova u tijeku</w:t>
      </w:r>
      <w:r w:rsidR="00883B8D">
        <w:t xml:space="preserve"> 2020.g.</w:t>
      </w:r>
      <w:r w:rsidRPr="00D14306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3007"/>
        <w:gridCol w:w="1812"/>
        <w:gridCol w:w="1813"/>
        <w:gridCol w:w="1813"/>
      </w:tblGrid>
      <w:tr w:rsidR="00D14306" w14:paraId="348459A2" w14:textId="77777777" w:rsidTr="00645267">
        <w:tc>
          <w:tcPr>
            <w:tcW w:w="617" w:type="dxa"/>
            <w:vMerge w:val="restart"/>
          </w:tcPr>
          <w:p w14:paraId="59554FEA" w14:textId="77777777" w:rsidR="00D14306" w:rsidRDefault="00D14306" w:rsidP="00645267">
            <w:r>
              <w:lastRenderedPageBreak/>
              <w:t>Red. Br.</w:t>
            </w:r>
          </w:p>
        </w:tc>
        <w:tc>
          <w:tcPr>
            <w:tcW w:w="3007" w:type="dxa"/>
            <w:vMerge w:val="restart"/>
          </w:tcPr>
          <w:p w14:paraId="38E7983A" w14:textId="77777777" w:rsidR="00D14306" w:rsidRDefault="00D14306" w:rsidP="00645267">
            <w:r>
              <w:t>Opis prirode spora</w:t>
            </w:r>
          </w:p>
        </w:tc>
        <w:tc>
          <w:tcPr>
            <w:tcW w:w="3625" w:type="dxa"/>
            <w:gridSpan w:val="2"/>
          </w:tcPr>
          <w:p w14:paraId="27C7C935" w14:textId="77777777" w:rsidR="00D14306" w:rsidRDefault="00D14306" w:rsidP="00645267">
            <w:r>
              <w:t>Procjena financijskog učinka</w:t>
            </w:r>
          </w:p>
        </w:tc>
        <w:tc>
          <w:tcPr>
            <w:tcW w:w="1813" w:type="dxa"/>
            <w:vMerge w:val="restart"/>
          </w:tcPr>
          <w:p w14:paraId="367EAB74" w14:textId="77777777" w:rsidR="00D14306" w:rsidRDefault="00D14306" w:rsidP="00645267">
            <w:r>
              <w:t>Procijenjeno vrijeme odljeva/priljeva sredstava</w:t>
            </w:r>
          </w:p>
        </w:tc>
      </w:tr>
      <w:tr w:rsidR="00D14306" w14:paraId="779D57F9" w14:textId="77777777" w:rsidTr="00645267">
        <w:tc>
          <w:tcPr>
            <w:tcW w:w="617" w:type="dxa"/>
            <w:vMerge/>
          </w:tcPr>
          <w:p w14:paraId="546F632F" w14:textId="77777777" w:rsidR="00D14306" w:rsidRDefault="00D14306" w:rsidP="00645267"/>
        </w:tc>
        <w:tc>
          <w:tcPr>
            <w:tcW w:w="3007" w:type="dxa"/>
            <w:vMerge/>
          </w:tcPr>
          <w:p w14:paraId="503CD8EA" w14:textId="77777777" w:rsidR="00D14306" w:rsidRDefault="00D14306" w:rsidP="00645267"/>
        </w:tc>
        <w:tc>
          <w:tcPr>
            <w:tcW w:w="1812" w:type="dxa"/>
          </w:tcPr>
          <w:p w14:paraId="495A76DA" w14:textId="77777777" w:rsidR="00D14306" w:rsidRDefault="00D14306" w:rsidP="00645267">
            <w:r>
              <w:t>Obveza</w:t>
            </w:r>
          </w:p>
        </w:tc>
        <w:tc>
          <w:tcPr>
            <w:tcW w:w="1813" w:type="dxa"/>
          </w:tcPr>
          <w:p w14:paraId="2E8E6DFA" w14:textId="77777777" w:rsidR="00D14306" w:rsidRDefault="00D14306" w:rsidP="00645267">
            <w:r>
              <w:t>Imovina</w:t>
            </w:r>
          </w:p>
        </w:tc>
        <w:tc>
          <w:tcPr>
            <w:tcW w:w="1813" w:type="dxa"/>
            <w:vMerge/>
          </w:tcPr>
          <w:p w14:paraId="291DCF10" w14:textId="77777777" w:rsidR="00D14306" w:rsidRDefault="00D14306" w:rsidP="00645267"/>
        </w:tc>
      </w:tr>
      <w:tr w:rsidR="00D14306" w14:paraId="2D1415F5" w14:textId="77777777" w:rsidTr="00645267">
        <w:tc>
          <w:tcPr>
            <w:tcW w:w="617" w:type="dxa"/>
          </w:tcPr>
          <w:p w14:paraId="6A44F061" w14:textId="77777777" w:rsidR="00D14306" w:rsidRDefault="00D14306" w:rsidP="00645267">
            <w:r>
              <w:t>1.</w:t>
            </w:r>
          </w:p>
        </w:tc>
        <w:tc>
          <w:tcPr>
            <w:tcW w:w="3007" w:type="dxa"/>
          </w:tcPr>
          <w:p w14:paraId="71C69C11" w14:textId="77777777" w:rsidR="00D14306" w:rsidRDefault="00D14306" w:rsidP="00645267">
            <w:r>
              <w:t>Tužba za radi isplate razlike plaće – povećanje od 6%</w:t>
            </w:r>
          </w:p>
        </w:tc>
        <w:tc>
          <w:tcPr>
            <w:tcW w:w="1812" w:type="dxa"/>
          </w:tcPr>
          <w:p w14:paraId="6B5E286B" w14:textId="77777777" w:rsidR="00D14306" w:rsidRDefault="00D14306" w:rsidP="00D14306">
            <w:pPr>
              <w:jc w:val="right"/>
            </w:pPr>
            <w:r>
              <w:t>268.904,39</w:t>
            </w:r>
          </w:p>
        </w:tc>
        <w:tc>
          <w:tcPr>
            <w:tcW w:w="1813" w:type="dxa"/>
          </w:tcPr>
          <w:p w14:paraId="16416E9C" w14:textId="77777777" w:rsidR="00D14306" w:rsidRDefault="00D14306" w:rsidP="00645267"/>
        </w:tc>
        <w:tc>
          <w:tcPr>
            <w:tcW w:w="1813" w:type="dxa"/>
          </w:tcPr>
          <w:p w14:paraId="673D1323" w14:textId="77777777" w:rsidR="00D14306" w:rsidRDefault="00D14306" w:rsidP="00645267">
            <w:r>
              <w:t>Prosinac 2021.g.</w:t>
            </w:r>
          </w:p>
        </w:tc>
      </w:tr>
    </w:tbl>
    <w:p w14:paraId="769B3596" w14:textId="77777777" w:rsidR="006A3A41" w:rsidRDefault="006A3A41" w:rsidP="004154E0"/>
    <w:p w14:paraId="3B63B6AD" w14:textId="77777777" w:rsidR="006A3A41" w:rsidRPr="00D14306" w:rsidRDefault="006A3A41" w:rsidP="004154E0">
      <w:r>
        <w:t xml:space="preserve">Potencijalne obveze po sudskim sporovima u tijeku evidentirane su u sklopu </w:t>
      </w:r>
      <w:proofErr w:type="spellStart"/>
      <w:r>
        <w:t>Izvanbilančnih</w:t>
      </w:r>
      <w:proofErr w:type="spellEnd"/>
      <w:r>
        <w:t xml:space="preserve"> zapisa (AOP-251 </w:t>
      </w:r>
      <w:proofErr w:type="spellStart"/>
      <w:r>
        <w:t>Izvanbilančni</w:t>
      </w:r>
      <w:proofErr w:type="spellEnd"/>
      <w:r>
        <w:t xml:space="preserve"> zapisi) koji sadrže i vrijednost tuđe imovine dobivene na korištenje.</w:t>
      </w:r>
    </w:p>
    <w:p w14:paraId="7B63D5FF" w14:textId="77777777" w:rsidR="00D1738B" w:rsidRPr="0098677A" w:rsidRDefault="00D1738B" w:rsidP="0098677A">
      <w:pPr>
        <w:jc w:val="center"/>
        <w:rPr>
          <w:b/>
        </w:rPr>
      </w:pPr>
      <w:r w:rsidRPr="001A6A26">
        <w:rPr>
          <w:b/>
        </w:rPr>
        <w:t>Bilješke uz Obrazac PR-RAS</w:t>
      </w:r>
    </w:p>
    <w:p w14:paraId="40159EF5" w14:textId="1D98E006" w:rsidR="00D1738B" w:rsidRDefault="00D1738B" w:rsidP="004154E0">
      <w:r>
        <w:t xml:space="preserve">Sukladno Zakonu o proračunu škola je uplaćivala namjenske i vlastite prihode u proračun Brodsko-posavske županije, evidentirala </w:t>
      </w:r>
      <w:r w:rsidR="00125D78">
        <w:t xml:space="preserve">ih </w:t>
      </w:r>
      <w:r>
        <w:t xml:space="preserve">u svojoj glavnoj knjizi na osnovnim računima </w:t>
      </w:r>
      <w:r w:rsidR="00B3500D">
        <w:t>R</w:t>
      </w:r>
      <w:r>
        <w:t>ačunskog plana sukladno vrsti ostvarenih prihoda</w:t>
      </w:r>
      <w:r w:rsidR="00B3500D">
        <w:t xml:space="preserve">, a </w:t>
      </w:r>
      <w:r>
        <w:t xml:space="preserve">županijska </w:t>
      </w:r>
      <w:r w:rsidR="00B3500D">
        <w:t xml:space="preserve">je </w:t>
      </w:r>
      <w:r>
        <w:t>riznica osigurala knjigovodstveni dokument na temelju</w:t>
      </w:r>
      <w:r w:rsidR="0098677A">
        <w:t xml:space="preserve"> kojeg su provedena knjiženja. </w:t>
      </w:r>
    </w:p>
    <w:p w14:paraId="187FF8A5" w14:textId="77777777" w:rsidR="00A65B09" w:rsidRPr="002C595F" w:rsidRDefault="006A3A41" w:rsidP="004154E0">
      <w:r w:rsidRPr="002C595F">
        <w:rPr>
          <w:b/>
        </w:rPr>
        <w:t>Bilješka broj 5</w:t>
      </w:r>
      <w:r w:rsidR="00A65B09" w:rsidRPr="002C595F">
        <w:rPr>
          <w:b/>
        </w:rPr>
        <w:t xml:space="preserve"> – AOP 067 – Tekuće pomoći temeljem prijenosa EU sredstava – </w:t>
      </w:r>
      <w:r w:rsidR="00A65B09" w:rsidRPr="002C595F">
        <w:t>U 2020.g. ostvareno je 178.859 kn sudjelovanjem u projektu Erasmus+ za razliku od prethodne godine kada škola nije ostvarila prihode iz EU fondova.</w:t>
      </w:r>
    </w:p>
    <w:p w14:paraId="00728B0A" w14:textId="7FBFCC30" w:rsidR="00991D15" w:rsidRPr="002C595F" w:rsidRDefault="006A3A41" w:rsidP="004154E0">
      <w:r w:rsidRPr="002C595F">
        <w:rPr>
          <w:b/>
        </w:rPr>
        <w:t>Bilješka broj 6</w:t>
      </w:r>
      <w:r w:rsidR="00991D15" w:rsidRPr="002C595F">
        <w:rPr>
          <w:b/>
        </w:rPr>
        <w:t xml:space="preserve"> - </w:t>
      </w:r>
      <w:r w:rsidR="00A65B09" w:rsidRPr="002C595F">
        <w:rPr>
          <w:b/>
        </w:rPr>
        <w:t>AOP</w:t>
      </w:r>
      <w:r w:rsidR="00991D15" w:rsidRPr="002C595F">
        <w:rPr>
          <w:b/>
        </w:rPr>
        <w:t xml:space="preserve"> 116 – Ostali nespomenuti prihodi – </w:t>
      </w:r>
      <w:r w:rsidR="00991D15" w:rsidRPr="002C595F">
        <w:t xml:space="preserve">Ostali nespomenuti prihodi ostvaruju se između ostalog i </w:t>
      </w:r>
      <w:r w:rsidR="008A295F">
        <w:t xml:space="preserve">izvođenjem </w:t>
      </w:r>
      <w:proofErr w:type="spellStart"/>
      <w:r w:rsidR="008A295F">
        <w:t>izvanučioničke</w:t>
      </w:r>
      <w:proofErr w:type="spellEnd"/>
      <w:r w:rsidR="008A295F">
        <w:t xml:space="preserve"> nastave i školskih izleta</w:t>
      </w:r>
      <w:r w:rsidR="00991D15" w:rsidRPr="002C595F">
        <w:t>. Kako se iste nisu realizirale zbog ograničenja uslijed pandemije, došlo je do značajnog odstupanja u ostvarenju prihoda.</w:t>
      </w:r>
    </w:p>
    <w:p w14:paraId="454CC1D8" w14:textId="77777777" w:rsidR="00A65B09" w:rsidRPr="002C595F" w:rsidRDefault="006A3A41" w:rsidP="004154E0">
      <w:r w:rsidRPr="002C595F">
        <w:rPr>
          <w:b/>
        </w:rPr>
        <w:t>Bilješka broj 7</w:t>
      </w:r>
      <w:r w:rsidR="00A65B09" w:rsidRPr="002C595F">
        <w:rPr>
          <w:b/>
        </w:rPr>
        <w:t xml:space="preserve"> - AOP 159 – Doprinosi za obvezno osiguranje u slučaju nezaposlenosti</w:t>
      </w:r>
      <w:r w:rsidR="00A65B09" w:rsidRPr="002C595F">
        <w:t xml:space="preserve"> – Sukladno važećim zakonskim propisima obveza obračunavanja i plaćanja doprinosa za obvezno osiguranje u slučaju nezaposlenosti ukinuta je u 2020.g. </w:t>
      </w:r>
    </w:p>
    <w:p w14:paraId="2CB552B0" w14:textId="24275E73" w:rsidR="00991D15" w:rsidRPr="002C595F" w:rsidRDefault="006A3A41" w:rsidP="004154E0">
      <w:r w:rsidRPr="002C595F">
        <w:rPr>
          <w:b/>
        </w:rPr>
        <w:t>Bilješka broj 8</w:t>
      </w:r>
      <w:r w:rsidR="00991D15" w:rsidRPr="002C595F">
        <w:rPr>
          <w:b/>
        </w:rPr>
        <w:t xml:space="preserve"> - </w:t>
      </w:r>
      <w:r w:rsidR="00A65B09" w:rsidRPr="002C595F">
        <w:rPr>
          <w:b/>
        </w:rPr>
        <w:t>AOP</w:t>
      </w:r>
      <w:r w:rsidR="00991D15" w:rsidRPr="002C595F">
        <w:rPr>
          <w:b/>
        </w:rPr>
        <w:t xml:space="preserve"> 162 – Službena putovanja</w:t>
      </w:r>
      <w:r w:rsidR="00991D15" w:rsidRPr="002C595F">
        <w:t xml:space="preserve"> – Troškovi službenih putovanja realizirani su u znatno manjem opsegu u odnosu na prethodno razdoblje zbog ograničenja održavanja stručnih skupova te natjecanja uslijed pandemije </w:t>
      </w:r>
      <w:r w:rsidR="00A65B09" w:rsidRPr="002C595F">
        <w:t>uzrokovane bole</w:t>
      </w:r>
      <w:r w:rsidR="00C70525">
        <w:t>šću</w:t>
      </w:r>
      <w:r w:rsidR="00A65B09" w:rsidRPr="002C595F">
        <w:t xml:space="preserve"> </w:t>
      </w:r>
      <w:r w:rsidR="00991D15" w:rsidRPr="002C595F">
        <w:t>Covid</w:t>
      </w:r>
      <w:r w:rsidR="00C70525">
        <w:t>-19</w:t>
      </w:r>
      <w:r w:rsidR="00991D15" w:rsidRPr="002C595F">
        <w:t>.</w:t>
      </w:r>
    </w:p>
    <w:p w14:paraId="4331F95D" w14:textId="77777777" w:rsidR="00991D15" w:rsidRPr="002C595F" w:rsidRDefault="006A3A41" w:rsidP="004154E0">
      <w:r w:rsidRPr="002C595F">
        <w:rPr>
          <w:b/>
        </w:rPr>
        <w:t>Bilješka broj 9</w:t>
      </w:r>
      <w:r w:rsidR="00A65B09" w:rsidRPr="002C595F">
        <w:rPr>
          <w:b/>
        </w:rPr>
        <w:t xml:space="preserve"> - AOP</w:t>
      </w:r>
      <w:r w:rsidR="00991D15" w:rsidRPr="002C595F">
        <w:rPr>
          <w:b/>
        </w:rPr>
        <w:t xml:space="preserve"> 179 – Zakupnine i najamnine</w:t>
      </w:r>
      <w:r w:rsidR="00991D15" w:rsidRPr="002C595F">
        <w:t xml:space="preserve"> – Do povećanja od 204,9% u odnosu na prethodno razdoblje došlo je zbog kupnje licenci financiranih iz pomoći (državnog proračuna)</w:t>
      </w:r>
      <w:r w:rsidR="00153549" w:rsidRPr="002C595F">
        <w:t>.</w:t>
      </w:r>
    </w:p>
    <w:p w14:paraId="6F382CF0" w14:textId="77777777" w:rsidR="0016086A" w:rsidRPr="002C595F" w:rsidRDefault="006A3A41" w:rsidP="004154E0">
      <w:pPr>
        <w:rPr>
          <w:b/>
        </w:rPr>
      </w:pPr>
      <w:r w:rsidRPr="002C595F">
        <w:rPr>
          <w:b/>
        </w:rPr>
        <w:t>Bilješka broj</w:t>
      </w:r>
      <w:r w:rsidR="0016086A" w:rsidRPr="002C595F">
        <w:rPr>
          <w:b/>
        </w:rPr>
        <w:t xml:space="preserve"> 10 - </w:t>
      </w:r>
      <w:r w:rsidR="00153549" w:rsidRPr="002C595F">
        <w:rPr>
          <w:b/>
        </w:rPr>
        <w:t>AOP</w:t>
      </w:r>
      <w:r w:rsidR="0016086A" w:rsidRPr="002C595F">
        <w:rPr>
          <w:b/>
        </w:rPr>
        <w:t xml:space="preserve"> 186 – Naknade za rad predstavničkih i izvršnih tijela, povjerenstava i sl. </w:t>
      </w:r>
      <w:r w:rsidR="0016086A" w:rsidRPr="002C595F">
        <w:t xml:space="preserve">– U 2020.g. </w:t>
      </w:r>
      <w:r w:rsidR="004777D5" w:rsidRPr="002C595F">
        <w:t>škola nije obračunavala naknade za rad povjerenstava za održavanje stručnog ispita i</w:t>
      </w:r>
      <w:r w:rsidR="002C595F" w:rsidRPr="002C595F">
        <w:t>z hrvatskog jezika zbog ukidanja obveze provođenja stručnih ispita u školi u 2020.g.</w:t>
      </w:r>
    </w:p>
    <w:p w14:paraId="5920F051" w14:textId="45517B04" w:rsidR="00FB6D47" w:rsidRDefault="006A3A41" w:rsidP="004154E0">
      <w:r w:rsidRPr="002C595F">
        <w:rPr>
          <w:b/>
        </w:rPr>
        <w:t>Bilješka broj 11</w:t>
      </w:r>
      <w:r w:rsidR="0016086A" w:rsidRPr="002C595F">
        <w:rPr>
          <w:b/>
        </w:rPr>
        <w:t xml:space="preserve"> - A</w:t>
      </w:r>
      <w:r w:rsidR="004B109B">
        <w:rPr>
          <w:b/>
        </w:rPr>
        <w:t>OP</w:t>
      </w:r>
      <w:r w:rsidR="0016086A" w:rsidRPr="002C595F">
        <w:rPr>
          <w:b/>
        </w:rPr>
        <w:t xml:space="preserve"> 286 – Obračunati prihodi poslovanja - nenaplaćeni</w:t>
      </w:r>
      <w:r w:rsidR="0016086A" w:rsidRPr="002C595F">
        <w:t xml:space="preserve"> – Obračunati nenaplaćeni prihodi poslovanja značajno su smanjeni (za 82%) zbog provođenja mjera redovite naplate prihoda, ali i provođenja obveznog ispravka vrijednosti potraživanja sukladno Pravilniku o proračunskom</w:t>
      </w:r>
      <w:r w:rsidR="0016086A">
        <w:t xml:space="preserve"> računovodstvu i </w:t>
      </w:r>
      <w:r w:rsidR="000974D9">
        <w:t>r</w:t>
      </w:r>
      <w:r w:rsidR="0016086A">
        <w:t>ačunskom planu.</w:t>
      </w:r>
    </w:p>
    <w:p w14:paraId="5FB03A73" w14:textId="61E92F1A" w:rsidR="006A3A41" w:rsidRPr="006A3A41" w:rsidRDefault="006A3A41" w:rsidP="006A3A41">
      <w:r w:rsidRPr="006A3A41">
        <w:rPr>
          <w:b/>
        </w:rPr>
        <w:t>Bilješka broj 12 - AOP 360 – Postrojenja i oprema</w:t>
      </w:r>
      <w:r w:rsidRPr="006A3A41">
        <w:t xml:space="preserve"> – U prethodnom razdoblju, rashodi za nabavu postrojenja i opreme veći su za 34,2% u odnosu na promatrano razdoblje zbog kupnje većeg broja laptopa.  U sklopu ove vrste rashoda došlo je i do smanjenja rashoda za kupnju komunikacijske opreme u vrijednosti 100% i uređaja i strojeva za posebne namjene, također za 100%, jer su isti u 2019.g nabavljeni za opremanje kabineta fizike i kemije, iz sredstava Ministarstva. </w:t>
      </w:r>
    </w:p>
    <w:p w14:paraId="06BF449E" w14:textId="77777777" w:rsidR="006A3A41" w:rsidRPr="002C595F" w:rsidRDefault="006A3A41" w:rsidP="004154E0">
      <w:r w:rsidRPr="002C595F">
        <w:rPr>
          <w:b/>
        </w:rPr>
        <w:lastRenderedPageBreak/>
        <w:t xml:space="preserve">Bilješka broj 13 - AOP 375 – Knjige </w:t>
      </w:r>
      <w:r w:rsidRPr="002C595F">
        <w:t xml:space="preserve">– Sukladno odluci Ministarstva znanosti i obrazovanja, u promatranom razdoblju ostvarili smo manje sredstava, stoga su rashodi za nabavu knjiga manji za 38,8% u odnosu na prethodno razdoblje. </w:t>
      </w:r>
    </w:p>
    <w:p w14:paraId="72B81805" w14:textId="7B74CFA2" w:rsidR="00502B2C" w:rsidRPr="00502B2C" w:rsidRDefault="002C595F" w:rsidP="00502B2C">
      <w:pPr>
        <w:shd w:val="clear" w:color="auto" w:fill="FFFFFF"/>
        <w:spacing w:line="235" w:lineRule="atLeas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Bilješka broj 14</w:t>
      </w:r>
      <w:r w:rsidR="006A3A41" w:rsidRPr="006A3A41">
        <w:rPr>
          <w:rFonts w:ascii="Calibri" w:eastAsia="Times New Roman" w:hAnsi="Calibri" w:cs="Times New Roman"/>
          <w:b/>
          <w:bCs/>
          <w:lang w:eastAsia="hr-HR"/>
        </w:rPr>
        <w:t xml:space="preserve"> </w:t>
      </w:r>
      <w:r w:rsidR="00502B2C" w:rsidRPr="00502B2C">
        <w:rPr>
          <w:rFonts w:ascii="Calibri" w:eastAsia="Times New Roman" w:hAnsi="Calibri" w:cs="Times New Roman"/>
          <w:b/>
          <w:bCs/>
          <w:lang w:eastAsia="hr-HR"/>
        </w:rPr>
        <w:t>- AOP 658 – Tekuće pomoći od HZMO-a, HZZ-a i HZZO-a </w:t>
      </w:r>
      <w:r w:rsidR="00502B2C" w:rsidRPr="00502B2C">
        <w:rPr>
          <w:rFonts w:ascii="Calibri" w:eastAsia="Times New Roman" w:hAnsi="Calibri" w:cs="Times New Roman"/>
          <w:lang w:eastAsia="hr-HR"/>
        </w:rPr>
        <w:t>– Smanjenje od  100,0%  u odnosu na prethodno razdoblje odnosi se na primljena sredstva od Hrvatskog zavoda za zapošljavanje</w:t>
      </w:r>
      <w:r w:rsidR="006A3A41">
        <w:rPr>
          <w:rFonts w:ascii="Calibri" w:eastAsia="Times New Roman" w:hAnsi="Calibri" w:cs="Times New Roman"/>
          <w:lang w:eastAsia="hr-HR"/>
        </w:rPr>
        <w:t xml:space="preserve"> 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u 2019. godini za isplatu plaće pripravnika psihologa </w:t>
      </w:r>
      <w:r w:rsidR="00C46DA7">
        <w:rPr>
          <w:rFonts w:ascii="Calibri" w:eastAsia="Times New Roman" w:hAnsi="Calibri" w:cs="Times New Roman"/>
          <w:lang w:eastAsia="hr-HR"/>
        </w:rPr>
        <w:t>u 2020.g</w:t>
      </w:r>
      <w:r w:rsidR="00502B2C" w:rsidRPr="00502B2C">
        <w:rPr>
          <w:rFonts w:ascii="Calibri" w:eastAsia="Times New Roman" w:hAnsi="Calibri" w:cs="Times New Roman"/>
          <w:lang w:eastAsia="hr-HR"/>
        </w:rPr>
        <w:t>.</w:t>
      </w:r>
    </w:p>
    <w:p w14:paraId="1B7E619E" w14:textId="77777777" w:rsidR="00502B2C" w:rsidRPr="00502B2C" w:rsidRDefault="002C595F" w:rsidP="00502B2C">
      <w:pPr>
        <w:shd w:val="clear" w:color="auto" w:fill="FFFFFF"/>
        <w:spacing w:line="235" w:lineRule="atLeas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Bilješka broj 15</w:t>
      </w:r>
      <w:r w:rsidR="00502B2C" w:rsidRPr="00502B2C">
        <w:rPr>
          <w:rFonts w:ascii="Calibri" w:eastAsia="Times New Roman" w:hAnsi="Calibri" w:cs="Times New Roman"/>
          <w:b/>
          <w:bCs/>
          <w:lang w:eastAsia="hr-HR"/>
        </w:rPr>
        <w:t xml:space="preserve"> - AOP 684 – Sufinanciranje cijene usluge, participacije i slično</w:t>
      </w:r>
      <w:r w:rsidR="00502B2C" w:rsidRPr="00502B2C">
        <w:rPr>
          <w:rFonts w:ascii="Calibri" w:eastAsia="Times New Roman" w:hAnsi="Calibri" w:cs="Times New Roman"/>
          <w:lang w:eastAsia="hr-HR"/>
        </w:rPr>
        <w:t> – Smanjenje od 81,80% u odnosu na prethodno razdoblje odnosi se na smanjene prihode od uplata polaznika stručnih ispita iz hrvatskog jezika.</w:t>
      </w:r>
    </w:p>
    <w:p w14:paraId="5A73B028" w14:textId="77777777" w:rsidR="00502B2C" w:rsidRPr="002C595F" w:rsidRDefault="002C595F" w:rsidP="00502B2C">
      <w:pPr>
        <w:shd w:val="clear" w:color="auto" w:fill="FFFFFF"/>
        <w:spacing w:line="235" w:lineRule="atLeast"/>
        <w:rPr>
          <w:rFonts w:ascii="Calibri" w:eastAsia="Times New Roman" w:hAnsi="Calibri" w:cs="Times New Roman"/>
          <w:lang w:eastAsia="hr-HR"/>
        </w:rPr>
      </w:pPr>
      <w:r w:rsidRPr="002C595F">
        <w:rPr>
          <w:rFonts w:ascii="Calibri" w:eastAsia="Times New Roman" w:hAnsi="Calibri" w:cs="Times New Roman"/>
          <w:b/>
          <w:bCs/>
          <w:lang w:eastAsia="hr-HR"/>
        </w:rPr>
        <w:t>Bilješka broj 16</w:t>
      </w:r>
      <w:r w:rsidR="00502B2C" w:rsidRPr="00502B2C">
        <w:rPr>
          <w:rFonts w:ascii="Calibri" w:eastAsia="Times New Roman" w:hAnsi="Calibri" w:cs="Times New Roman"/>
          <w:b/>
          <w:bCs/>
          <w:lang w:eastAsia="hr-HR"/>
        </w:rPr>
        <w:t xml:space="preserve"> - AOP 688 – Naknade za bolest, invalidnost i smrtni slučaj</w:t>
      </w:r>
      <w:r w:rsidR="00502B2C" w:rsidRPr="00502B2C">
        <w:rPr>
          <w:rFonts w:ascii="Calibri" w:eastAsia="Times New Roman" w:hAnsi="Calibri" w:cs="Times New Roman"/>
          <w:lang w:eastAsia="hr-HR"/>
        </w:rPr>
        <w:t> –Smanjenje od 56,3% odnosi se na manji broj dugotrajnih bolovanja u odnosu na prethodno razdoblje. </w:t>
      </w:r>
    </w:p>
    <w:p w14:paraId="2339CC7E" w14:textId="77777777" w:rsidR="006A3A41" w:rsidRPr="00502B2C" w:rsidRDefault="002C595F" w:rsidP="006A3A41">
      <w:r w:rsidRPr="002C595F">
        <w:rPr>
          <w:b/>
        </w:rPr>
        <w:t>Bilješka broj 17</w:t>
      </w:r>
      <w:r w:rsidR="006A3A41" w:rsidRPr="002C595F">
        <w:rPr>
          <w:b/>
        </w:rPr>
        <w:t xml:space="preserve"> - AOP 691 – Obvezni preventivni pregledi zaposlenika</w:t>
      </w:r>
      <w:r w:rsidR="006A3A41" w:rsidRPr="002C595F">
        <w:t xml:space="preserve"> –Do povećanja rashoda za obvezne preventivne preglede zaposlenika za 31,8% u odnosu na prethodno razdoblje došlo je zbog povećanja broja zaposlenika koji su ostvarili pravo na obvezni preventivni zdravstveni pregled. </w:t>
      </w:r>
    </w:p>
    <w:p w14:paraId="7B66CF11" w14:textId="77777777" w:rsidR="003D1F5A" w:rsidRPr="0098677A" w:rsidRDefault="002C595F" w:rsidP="004154E0">
      <w:pPr>
        <w:rPr>
          <w:b/>
        </w:rPr>
      </w:pPr>
      <w:r>
        <w:rPr>
          <w:b/>
        </w:rPr>
        <w:t xml:space="preserve">Bilješka broj </w:t>
      </w:r>
      <w:r w:rsidR="000A107B" w:rsidRPr="000A107B">
        <w:rPr>
          <w:b/>
        </w:rPr>
        <w:t>1</w:t>
      </w:r>
      <w:r>
        <w:rPr>
          <w:b/>
        </w:rPr>
        <w:t>8</w:t>
      </w:r>
      <w:r w:rsidR="003D1F5A" w:rsidRPr="000A107B">
        <w:rPr>
          <w:b/>
        </w:rPr>
        <w:t xml:space="preserve"> - U</w:t>
      </w:r>
      <w:r w:rsidR="0098677A">
        <w:rPr>
          <w:b/>
        </w:rPr>
        <w:t>tvrđivanje rezultata poslovanja</w:t>
      </w:r>
    </w:p>
    <w:p w14:paraId="3222C274" w14:textId="0657AC8E" w:rsidR="003D1F5A" w:rsidRDefault="003D1F5A" w:rsidP="004154E0">
      <w:r>
        <w:t>Prije izra</w:t>
      </w:r>
      <w:r w:rsidR="00037F60">
        <w:t>de financijskih izvješća za 2020</w:t>
      </w:r>
      <w:r>
        <w:t>. godinu provedena su zaključna knjiženja kojima se utvrđuje rezultat poslovanja. Utvrđivanje rezultata na kraju godine provodi se zatvaranjem računa rashoda i izdataka</w:t>
      </w:r>
      <w:r w:rsidR="00B921D3">
        <w:t xml:space="preserve"> te</w:t>
      </w:r>
      <w:r>
        <w:t xml:space="preserve"> prihoda i primitaka. </w:t>
      </w:r>
    </w:p>
    <w:p w14:paraId="320D628D" w14:textId="6C8366A6" w:rsidR="0098677A" w:rsidRDefault="003D1F5A" w:rsidP="004154E0">
      <w:r>
        <w:t>U nastavku se daje analiza i potvrđuje usklađenost stanja sreds</w:t>
      </w:r>
      <w:r w:rsidR="0098677A">
        <w:t xml:space="preserve">tava i financijskog rezultata. </w:t>
      </w:r>
    </w:p>
    <w:p w14:paraId="66A74274" w14:textId="77777777" w:rsidR="00B921D3" w:rsidRDefault="00B921D3" w:rsidP="004154E0"/>
    <w:p w14:paraId="468A98F5" w14:textId="0805EECF" w:rsidR="003D1F5A" w:rsidRDefault="003D1F5A" w:rsidP="004154E0">
      <w:r>
        <w:t xml:space="preserve">Analiza </w:t>
      </w:r>
      <w:r w:rsidR="0098677A">
        <w:t xml:space="preserve">stanja sredstava na </w:t>
      </w:r>
      <w:proofErr w:type="spellStart"/>
      <w:r w:rsidR="0098677A">
        <w:t>podračunu</w:t>
      </w:r>
      <w:proofErr w:type="spellEnd"/>
      <w:r w:rsidR="0098677A">
        <w:t xml:space="preserve">: </w:t>
      </w:r>
    </w:p>
    <w:p w14:paraId="4E1AD1C2" w14:textId="77777777" w:rsidR="003D1F5A" w:rsidRDefault="00037F60" w:rsidP="004154E0">
      <w:r>
        <w:t xml:space="preserve">Konto 163 – projekti      </w:t>
      </w:r>
      <w:r w:rsidR="003D1F5A">
        <w:t xml:space="preserve"> </w:t>
      </w:r>
      <w:r w:rsidR="003D1F5A">
        <w:tab/>
      </w:r>
      <w:r w:rsidR="003D1F5A">
        <w:tab/>
      </w:r>
      <w:r w:rsidR="003D1F5A">
        <w:tab/>
      </w:r>
      <w:r w:rsidR="003D1F5A">
        <w:tab/>
      </w:r>
      <w:r w:rsidR="008C1A18">
        <w:t xml:space="preserve">  </w:t>
      </w:r>
      <w:r>
        <w:t>191.091,96</w:t>
      </w:r>
    </w:p>
    <w:p w14:paraId="75EDE8BF" w14:textId="77777777" w:rsidR="003D1F5A" w:rsidRDefault="008C1A18" w:rsidP="004154E0">
      <w:r>
        <w:t>+</w:t>
      </w:r>
      <w:r w:rsidR="003D1F5A">
        <w:t>Konto 167</w:t>
      </w:r>
      <w:r w:rsidR="00477CCD">
        <w:tab/>
      </w:r>
      <w:r w:rsidR="00477CCD">
        <w:tab/>
      </w:r>
      <w:r w:rsidR="00477CCD">
        <w:tab/>
      </w:r>
      <w:r w:rsidR="00477CCD">
        <w:tab/>
      </w:r>
      <w:r w:rsidR="00477CCD">
        <w:tab/>
      </w:r>
      <w:r w:rsidR="00477CCD">
        <w:tab/>
      </w:r>
      <w:r w:rsidR="00037F60">
        <w:t xml:space="preserve">  280.693,51</w:t>
      </w:r>
      <w:r w:rsidR="008870D1">
        <w:t xml:space="preserve"> </w:t>
      </w:r>
    </w:p>
    <w:p w14:paraId="4306EF75" w14:textId="77777777" w:rsidR="00477CCD" w:rsidRDefault="00037F60" w:rsidP="004154E0">
      <w:pPr>
        <w:pBdr>
          <w:bottom w:val="single" w:sz="12" w:space="1" w:color="auto"/>
        </w:pBdr>
      </w:pPr>
      <w:r>
        <w:t>Stanje sredstava:</w:t>
      </w:r>
      <w:r>
        <w:tab/>
      </w:r>
      <w:r>
        <w:tab/>
      </w:r>
      <w:r>
        <w:tab/>
      </w:r>
      <w:r>
        <w:tab/>
      </w:r>
      <w:r>
        <w:tab/>
        <w:t xml:space="preserve">   471.784,77</w:t>
      </w:r>
    </w:p>
    <w:p w14:paraId="7C1D2FF2" w14:textId="118B64C6" w:rsidR="00477CCD" w:rsidRDefault="00477CCD" w:rsidP="004154E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Obveze iz ostalih izvora</w:t>
      </w:r>
      <w:r>
        <w:tab/>
      </w:r>
      <w:r>
        <w:tab/>
      </w:r>
      <w:r>
        <w:tab/>
      </w:r>
      <w:r>
        <w:tab/>
      </w:r>
      <w:r>
        <w:tab/>
      </w:r>
      <w:r w:rsidR="00037F60">
        <w:t xml:space="preserve">               0,00</w:t>
      </w:r>
    </w:p>
    <w:p w14:paraId="59FF9EFD" w14:textId="2E9086F9" w:rsidR="00477CCD" w:rsidRDefault="00477CCD" w:rsidP="004154E0">
      <w:pPr>
        <w:rPr>
          <w:u w:val="single"/>
        </w:rPr>
      </w:pPr>
      <w:r w:rsidRPr="00477CCD">
        <w:rPr>
          <w:u w:val="single"/>
        </w:rPr>
        <w:t xml:space="preserve">Saldo: </w:t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="00037F60">
        <w:rPr>
          <w:u w:val="single"/>
        </w:rPr>
        <w:t xml:space="preserve">    471.784,77</w:t>
      </w:r>
      <w:r w:rsidRPr="00477CCD">
        <w:rPr>
          <w:u w:val="single"/>
        </w:rPr>
        <w:t xml:space="preserve"> (sr</w:t>
      </w:r>
      <w:r w:rsidR="00037F60">
        <w:rPr>
          <w:u w:val="single"/>
        </w:rPr>
        <w:t>edstva koja će se trošiti u 2021</w:t>
      </w:r>
      <w:r w:rsidRPr="00477CCD">
        <w:rPr>
          <w:u w:val="single"/>
        </w:rPr>
        <w:t>.g a čiji su prihod</w:t>
      </w:r>
      <w:r w:rsidR="00037F60">
        <w:rPr>
          <w:u w:val="single"/>
        </w:rPr>
        <w:t>i evidentirani u 2020</w:t>
      </w:r>
      <w:r w:rsidRPr="00477CCD">
        <w:rPr>
          <w:u w:val="single"/>
        </w:rPr>
        <w:t>. godini</w:t>
      </w:r>
    </w:p>
    <w:p w14:paraId="3E833776" w14:textId="74099470" w:rsidR="00745D70" w:rsidRDefault="00477CCD" w:rsidP="004154E0">
      <w:r w:rsidRPr="00477CCD">
        <w:t xml:space="preserve">Kada je riječ o decentraliziranim sredstvima, </w:t>
      </w:r>
      <w:r w:rsidR="00037F60">
        <w:t>sukladno modificiranom načelu nastanka događaja</w:t>
      </w:r>
      <w:r w:rsidR="00844982">
        <w:t>,</w:t>
      </w:r>
      <w:r w:rsidR="00037F60">
        <w:t xml:space="preserve"> </w:t>
      </w:r>
      <w:r w:rsidRPr="00477CCD">
        <w:t>š</w:t>
      </w:r>
      <w:r w:rsidR="00037F60">
        <w:t xml:space="preserve">kola </w:t>
      </w:r>
      <w:r w:rsidR="00B921D3">
        <w:t xml:space="preserve">je </w:t>
      </w:r>
      <w:r w:rsidR="00037F60">
        <w:t>kao proračunski korisnik</w:t>
      </w:r>
      <w:r w:rsidRPr="00477CCD">
        <w:t xml:space="preserve"> obvezna</w:t>
      </w:r>
      <w:r w:rsidR="00037F60">
        <w:t xml:space="preserve"> iskazati rashode</w:t>
      </w:r>
      <w:r w:rsidR="00526013">
        <w:t xml:space="preserve"> i obveze </w:t>
      </w:r>
      <w:r w:rsidR="00594AE0">
        <w:t>kada su nastale i teretiti izvještajno razdoblje</w:t>
      </w:r>
      <w:r w:rsidRPr="00477CCD">
        <w:t xml:space="preserve"> be</w:t>
      </w:r>
      <w:r w:rsidR="00037F60">
        <w:t>z obzira jesu li iste podmirene</w:t>
      </w:r>
      <w:r w:rsidR="00844982">
        <w:t xml:space="preserve"> u izvještajnom razdoblju</w:t>
      </w:r>
      <w:r w:rsidR="00037F60">
        <w:t>.</w:t>
      </w:r>
      <w:r w:rsidR="00516538">
        <w:t xml:space="preserve"> </w:t>
      </w:r>
    </w:p>
    <w:p w14:paraId="4AF384C1" w14:textId="77777777" w:rsidR="00477CCD" w:rsidRDefault="00477CCD" w:rsidP="004154E0">
      <w:r>
        <w:t xml:space="preserve">Stoga, izračun dalje slijedi: </w:t>
      </w:r>
    </w:p>
    <w:p w14:paraId="7B38C69D" w14:textId="79AD598A" w:rsidR="00477CCD" w:rsidRPr="00057696" w:rsidRDefault="00477CCD" w:rsidP="00745D70">
      <w:pPr>
        <w:jc w:val="right"/>
        <w:rPr>
          <w:b/>
        </w:rPr>
      </w:pPr>
      <w:r w:rsidRPr="00057696">
        <w:rPr>
          <w:b/>
        </w:rPr>
        <w:t>Stanje sredstava koje će se trošiti u 202</w:t>
      </w:r>
      <w:r w:rsidR="00516538">
        <w:rPr>
          <w:b/>
        </w:rPr>
        <w:t>1</w:t>
      </w:r>
      <w:r w:rsidRPr="00057696">
        <w:rPr>
          <w:b/>
        </w:rPr>
        <w:t xml:space="preserve">. čiji su prihodi evidentirani </w:t>
      </w:r>
      <w:r w:rsidR="00516538">
        <w:rPr>
          <w:b/>
        </w:rPr>
        <w:t>u 2020</w:t>
      </w:r>
      <w:r w:rsidRPr="00057696">
        <w:rPr>
          <w:b/>
        </w:rPr>
        <w:t>.g.</w:t>
      </w:r>
      <w:r w:rsidR="00057696" w:rsidRPr="00057696">
        <w:rPr>
          <w:b/>
        </w:rPr>
        <w:t xml:space="preserve"> </w:t>
      </w:r>
      <w:r w:rsidR="00057696" w:rsidRPr="00057696">
        <w:rPr>
          <w:b/>
        </w:rPr>
        <w:tab/>
      </w:r>
      <w:r w:rsidR="00037F60">
        <w:rPr>
          <w:b/>
        </w:rPr>
        <w:t xml:space="preserve">471.784,77 </w:t>
      </w:r>
      <w:r w:rsidRPr="00057696">
        <w:rPr>
          <w:b/>
        </w:rPr>
        <w:t>kn</w:t>
      </w:r>
    </w:p>
    <w:p w14:paraId="4C286175" w14:textId="70C3695D" w:rsidR="00057696" w:rsidRPr="00057696" w:rsidRDefault="00057696" w:rsidP="00745D70">
      <w:pPr>
        <w:jc w:val="right"/>
        <w:rPr>
          <w:u w:val="single"/>
        </w:rPr>
      </w:pPr>
      <w:r w:rsidRPr="00057696">
        <w:rPr>
          <w:u w:val="single"/>
        </w:rPr>
        <w:t xml:space="preserve">+ razlika plaćenog PDV-a za koju će rashodi iz </w:t>
      </w:r>
      <w:proofErr w:type="spellStart"/>
      <w:r w:rsidRPr="00057696">
        <w:rPr>
          <w:u w:val="single"/>
        </w:rPr>
        <w:t>vl</w:t>
      </w:r>
      <w:proofErr w:type="spellEnd"/>
      <w:r w:rsidRPr="00057696">
        <w:rPr>
          <w:u w:val="single"/>
        </w:rPr>
        <w:t>. prihoda biti veći od prihoda u 20</w:t>
      </w:r>
      <w:r w:rsidR="00C41B6C">
        <w:rPr>
          <w:u w:val="single"/>
        </w:rPr>
        <w:t>21</w:t>
      </w:r>
      <w:r w:rsidRPr="00057696">
        <w:rPr>
          <w:u w:val="single"/>
        </w:rPr>
        <w:t>.</w:t>
      </w:r>
      <w:r w:rsidR="00C41B6C">
        <w:rPr>
          <w:u w:val="single"/>
        </w:rPr>
        <w:t>g</w:t>
      </w:r>
      <w:r w:rsidRPr="00057696">
        <w:rPr>
          <w:u w:val="single"/>
        </w:rPr>
        <w:t xml:space="preserve"> </w:t>
      </w:r>
      <w:r w:rsidRPr="00057696">
        <w:rPr>
          <w:u w:val="single"/>
        </w:rPr>
        <w:tab/>
        <w:t xml:space="preserve">     4</w:t>
      </w:r>
      <w:r w:rsidR="00745D70">
        <w:rPr>
          <w:u w:val="single"/>
        </w:rPr>
        <w:t>.</w:t>
      </w:r>
      <w:r w:rsidRPr="00057696">
        <w:rPr>
          <w:u w:val="single"/>
        </w:rPr>
        <w:t>970,09kn</w:t>
      </w:r>
    </w:p>
    <w:p w14:paraId="442F990D" w14:textId="77777777" w:rsidR="00057696" w:rsidRPr="00057696" w:rsidRDefault="00057696" w:rsidP="00745D70">
      <w:pPr>
        <w:jc w:val="right"/>
        <w:rPr>
          <w:b/>
        </w:rPr>
      </w:pPr>
      <w:r w:rsidRPr="00057696">
        <w:rPr>
          <w:b/>
        </w:rPr>
        <w:t xml:space="preserve">Stanje potraživanja za sredstvima na </w:t>
      </w:r>
      <w:proofErr w:type="spellStart"/>
      <w:r w:rsidRPr="00057696">
        <w:rPr>
          <w:b/>
        </w:rPr>
        <w:t>podračunu</w:t>
      </w:r>
      <w:proofErr w:type="spellEnd"/>
      <w:r w:rsidRPr="00057696">
        <w:rPr>
          <w:b/>
        </w:rPr>
        <w:t xml:space="preserve"> ko</w:t>
      </w:r>
      <w:r w:rsidR="00037F60">
        <w:rPr>
          <w:b/>
        </w:rPr>
        <w:t xml:space="preserve">ja će se trošiti u 2021.g. </w:t>
      </w:r>
      <w:r w:rsidR="00037F60">
        <w:rPr>
          <w:b/>
        </w:rPr>
        <w:tab/>
      </w:r>
      <w:r w:rsidR="00037F60">
        <w:rPr>
          <w:b/>
        </w:rPr>
        <w:tab/>
        <w:t xml:space="preserve">476.754,86 </w:t>
      </w:r>
      <w:r w:rsidRPr="00057696">
        <w:rPr>
          <w:b/>
        </w:rPr>
        <w:t>kn</w:t>
      </w:r>
    </w:p>
    <w:p w14:paraId="710F4F80" w14:textId="77777777" w:rsidR="00477CCD" w:rsidRPr="00057696" w:rsidRDefault="00C745F6" w:rsidP="00745D70">
      <w:pPr>
        <w:jc w:val="right"/>
        <w:rPr>
          <w:u w:val="single"/>
        </w:rPr>
      </w:pPr>
      <w:r>
        <w:rPr>
          <w:u w:val="single"/>
        </w:rPr>
        <w:t>-</w:t>
      </w:r>
      <w:r w:rsidR="004D0EFE" w:rsidRPr="00057696">
        <w:rPr>
          <w:u w:val="single"/>
        </w:rPr>
        <w:t xml:space="preserve">Manjak </w:t>
      </w:r>
      <w:r w:rsidR="00477CCD" w:rsidRPr="00057696">
        <w:rPr>
          <w:u w:val="single"/>
        </w:rPr>
        <w:t>prihoda poslovanja un</w:t>
      </w:r>
      <w:r>
        <w:rPr>
          <w:u w:val="single"/>
        </w:rPr>
        <w:t xml:space="preserve">utar izvora </w:t>
      </w:r>
      <w:proofErr w:type="spellStart"/>
      <w:r>
        <w:rPr>
          <w:u w:val="single"/>
        </w:rPr>
        <w:t>dec</w:t>
      </w:r>
      <w:proofErr w:type="spellEnd"/>
      <w:r>
        <w:rPr>
          <w:u w:val="single"/>
        </w:rPr>
        <w:t xml:space="preserve"> sredstava</w:t>
      </w:r>
      <w:r>
        <w:rPr>
          <w:u w:val="single"/>
        </w:rPr>
        <w:tab/>
      </w:r>
      <w:r>
        <w:rPr>
          <w:u w:val="single"/>
        </w:rPr>
        <w:tab/>
      </w:r>
      <w:r w:rsidR="00037F60">
        <w:rPr>
          <w:u w:val="single"/>
        </w:rPr>
        <w:tab/>
      </w:r>
      <w:r w:rsidR="00037F60">
        <w:rPr>
          <w:u w:val="single"/>
        </w:rPr>
        <w:tab/>
        <w:t xml:space="preserve">117.723,83 </w:t>
      </w:r>
      <w:r w:rsidR="00477CCD" w:rsidRPr="00057696">
        <w:rPr>
          <w:u w:val="single"/>
        </w:rPr>
        <w:t>kn</w:t>
      </w:r>
    </w:p>
    <w:p w14:paraId="7369E226" w14:textId="77777777" w:rsidR="00663A3E" w:rsidRDefault="00663A3E" w:rsidP="00745D70">
      <w:pPr>
        <w:jc w:val="right"/>
        <w:rPr>
          <w:b/>
        </w:rPr>
      </w:pPr>
      <w:r w:rsidRPr="006A5E55">
        <w:rPr>
          <w:b/>
        </w:rPr>
        <w:t xml:space="preserve">Saldo: </w:t>
      </w:r>
      <w:r w:rsidRPr="006A5E5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F60">
        <w:rPr>
          <w:b/>
        </w:rPr>
        <w:t xml:space="preserve">359.031,03 </w:t>
      </w:r>
      <w:r w:rsidRPr="006A5E55">
        <w:rPr>
          <w:b/>
        </w:rPr>
        <w:t>kn</w:t>
      </w:r>
    </w:p>
    <w:p w14:paraId="4015C75D" w14:textId="77777777" w:rsidR="0098677A" w:rsidRPr="0098677A" w:rsidRDefault="0098677A" w:rsidP="004154E0">
      <w:pPr>
        <w:rPr>
          <w:b/>
        </w:rPr>
      </w:pPr>
    </w:p>
    <w:p w14:paraId="1E8E027E" w14:textId="77777777" w:rsidR="00663A3E" w:rsidRDefault="00663A3E" w:rsidP="004154E0">
      <w:r>
        <w:t xml:space="preserve">Financijski rezultat poslovanja dobiven je kroz analizu potraživanja za prihode iz proračuna (podskupina </w:t>
      </w:r>
      <w:r w:rsidR="00037F60">
        <w:t xml:space="preserve">163 i </w:t>
      </w:r>
      <w:r>
        <w:t>167), obveza iz ostali</w:t>
      </w:r>
      <w:r w:rsidR="00037F60">
        <w:t>h izvora te s druge strane manjka</w:t>
      </w:r>
      <w:r>
        <w:t xml:space="preserve"> prihoda poslovanja unutar izvora decentraliziranih sredstava. </w:t>
      </w:r>
    </w:p>
    <w:p w14:paraId="49026F18" w14:textId="77777777" w:rsidR="00663A3E" w:rsidRDefault="00663A3E" w:rsidP="004154E0">
      <w:r>
        <w:t xml:space="preserve">U nastavku slijedi izračun financijskog rezultata kroz zaključna knjiženja. </w:t>
      </w:r>
    </w:p>
    <w:p w14:paraId="7D6CC4F4" w14:textId="77777777" w:rsidR="00663A3E" w:rsidRDefault="00663A3E" w:rsidP="004154E0">
      <w:r>
        <w:t>Sučeljavanjem prihoda i rashoda poslovanja (razred 3 i 6) te prihoda i rashoda od nefinancijske imovine (razred 4</w:t>
      </w:r>
      <w:r w:rsidR="00057696">
        <w:t xml:space="preserve"> </w:t>
      </w:r>
      <w:r>
        <w:t xml:space="preserve">i 7), dobiven je financijski rezultat u iznosu </w:t>
      </w:r>
      <w:r w:rsidR="00C745F6">
        <w:t>359.031,03</w:t>
      </w:r>
      <w:r w:rsidR="00057696">
        <w:t xml:space="preserve"> kn </w:t>
      </w:r>
      <w:r>
        <w:t xml:space="preserve">koji predstavlja višak prihoda i primitaka za slijedeće razdoblje, a izračun se nalazi u nastavku: </w:t>
      </w:r>
    </w:p>
    <w:p w14:paraId="50CCD1A8" w14:textId="77777777" w:rsidR="00663A3E" w:rsidRDefault="00663A3E" w:rsidP="004154E0"/>
    <w:p w14:paraId="5C93EE2D" w14:textId="77777777" w:rsidR="00663A3E" w:rsidRPr="006A5E55" w:rsidRDefault="00663A3E" w:rsidP="004154E0">
      <w:pPr>
        <w:rPr>
          <w:rFonts w:ascii="Calibri" w:eastAsia="Times New Roman" w:hAnsi="Calibri" w:cs="Times New Roman"/>
          <w:color w:val="000000"/>
          <w:lang w:eastAsia="hr-HR"/>
        </w:rPr>
      </w:pPr>
      <w:r>
        <w:t>Prihodi poslovanja</w:t>
      </w:r>
      <w:r w:rsidR="006A5E55">
        <w:t xml:space="preserve"> </w:t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 w:rsidRPr="006A5E55">
        <w:rPr>
          <w:rFonts w:ascii="Calibri" w:eastAsia="Times New Roman" w:hAnsi="Calibri" w:cs="Times New Roman"/>
          <w:color w:val="000000"/>
          <w:lang w:eastAsia="hr-HR"/>
        </w:rPr>
        <w:t>12</w:t>
      </w:r>
      <w:r w:rsidR="00C745F6">
        <w:rPr>
          <w:rFonts w:ascii="Calibri" w:eastAsia="Times New Roman" w:hAnsi="Calibri" w:cs="Times New Roman"/>
          <w:color w:val="000000"/>
          <w:lang w:eastAsia="hr-HR"/>
        </w:rPr>
        <w:t>.292.932,11</w:t>
      </w:r>
      <w:r w:rsidR="006A5E55">
        <w:rPr>
          <w:rFonts w:ascii="Calibri" w:eastAsia="Times New Roman" w:hAnsi="Calibri" w:cs="Times New Roman"/>
          <w:color w:val="000000"/>
          <w:lang w:eastAsia="hr-HR"/>
        </w:rPr>
        <w:t xml:space="preserve"> kn</w:t>
      </w:r>
    </w:p>
    <w:p w14:paraId="32250D83" w14:textId="77777777" w:rsidR="006A5E55" w:rsidRPr="0098677A" w:rsidRDefault="00663A3E" w:rsidP="006A5E55">
      <w:pPr>
        <w:rPr>
          <w:rFonts w:ascii="Calibri" w:eastAsia="Times New Roman" w:hAnsi="Calibri" w:cs="Times New Roman"/>
          <w:color w:val="000000"/>
          <w:u w:val="single"/>
          <w:lang w:eastAsia="hr-HR"/>
        </w:rPr>
      </w:pPr>
      <w:r w:rsidRPr="0098677A">
        <w:rPr>
          <w:u w:val="single"/>
        </w:rPr>
        <w:t>Rashodi poslovanja</w:t>
      </w:r>
      <w:r w:rsidR="006A5E55" w:rsidRPr="0098677A">
        <w:rPr>
          <w:u w:val="single"/>
        </w:rPr>
        <w:t xml:space="preserve"> </w:t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C745F6">
        <w:rPr>
          <w:rFonts w:ascii="Calibri" w:eastAsia="Times New Roman" w:hAnsi="Calibri" w:cs="Times New Roman"/>
          <w:color w:val="000000"/>
          <w:u w:val="single"/>
          <w:lang w:eastAsia="hr-HR"/>
        </w:rPr>
        <w:t>12.050.605,52</w:t>
      </w:r>
      <w:r w:rsidR="006A5E55" w:rsidRPr="0098677A">
        <w:rPr>
          <w:rFonts w:ascii="Calibri" w:eastAsia="Times New Roman" w:hAnsi="Calibri" w:cs="Times New Roman"/>
          <w:color w:val="000000"/>
          <w:u w:val="single"/>
          <w:lang w:eastAsia="hr-HR"/>
        </w:rPr>
        <w:t xml:space="preserve"> kn</w:t>
      </w:r>
    </w:p>
    <w:p w14:paraId="52843A46" w14:textId="77777777" w:rsidR="00663A3E" w:rsidRDefault="00663A3E" w:rsidP="004154E0">
      <w:r>
        <w:t>Rez</w:t>
      </w:r>
      <w:r w:rsidR="006A5E55">
        <w:t>ultat: višak prihoda p</w:t>
      </w:r>
      <w:r w:rsidR="00C745F6">
        <w:t xml:space="preserve">oslovanja: </w:t>
      </w:r>
      <w:r w:rsidR="00C745F6">
        <w:tab/>
      </w:r>
      <w:r w:rsidR="00C745F6">
        <w:tab/>
      </w:r>
      <w:r w:rsidR="00C745F6">
        <w:tab/>
      </w:r>
      <w:r w:rsidR="00C745F6">
        <w:tab/>
      </w:r>
      <w:r w:rsidR="00C745F6">
        <w:tab/>
        <w:t xml:space="preserve">      242.326,59</w:t>
      </w:r>
      <w:r w:rsidR="006A5E55">
        <w:t xml:space="preserve"> kn</w:t>
      </w:r>
    </w:p>
    <w:p w14:paraId="35BC678C" w14:textId="77777777" w:rsidR="00663A3E" w:rsidRDefault="00663A3E" w:rsidP="004154E0"/>
    <w:p w14:paraId="17DD30B7" w14:textId="77777777" w:rsidR="00663A3E" w:rsidRDefault="00663A3E" w:rsidP="004154E0">
      <w:r>
        <w:t>Prihodi od nefinancijske imovine</w:t>
      </w:r>
      <w:r w:rsidR="006A5E55">
        <w:t xml:space="preserve"> </w:t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  <w:t>0,00 kn</w:t>
      </w:r>
    </w:p>
    <w:p w14:paraId="1BA2A191" w14:textId="77777777" w:rsidR="00663A3E" w:rsidRPr="0098677A" w:rsidRDefault="00663A3E" w:rsidP="004154E0">
      <w:pPr>
        <w:rPr>
          <w:rFonts w:ascii="Calibri" w:eastAsia="Times New Roman" w:hAnsi="Calibri" w:cs="Times New Roman"/>
          <w:color w:val="000000"/>
          <w:u w:val="single"/>
          <w:lang w:eastAsia="hr-HR"/>
        </w:rPr>
      </w:pPr>
      <w:r w:rsidRPr="0098677A">
        <w:rPr>
          <w:u w:val="single"/>
        </w:rPr>
        <w:t>Rashodi od nefinancijske imovine</w:t>
      </w:r>
      <w:r w:rsidR="006A5E55" w:rsidRPr="0098677A">
        <w:rPr>
          <w:u w:val="single"/>
        </w:rPr>
        <w:t xml:space="preserve"> </w:t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  <w:t xml:space="preserve">    </w:t>
      </w:r>
      <w:r w:rsidR="00C745F6">
        <w:rPr>
          <w:rFonts w:ascii="Calibri" w:eastAsia="Times New Roman" w:hAnsi="Calibri" w:cs="Times New Roman"/>
          <w:color w:val="000000"/>
          <w:u w:val="single"/>
          <w:lang w:eastAsia="hr-HR"/>
        </w:rPr>
        <w:t xml:space="preserve"> 63.015,93</w:t>
      </w:r>
      <w:r w:rsidR="006A5E55" w:rsidRPr="0098677A">
        <w:rPr>
          <w:rFonts w:ascii="Calibri" w:eastAsia="Times New Roman" w:hAnsi="Calibri" w:cs="Times New Roman"/>
          <w:color w:val="000000"/>
          <w:u w:val="single"/>
          <w:lang w:eastAsia="hr-HR"/>
        </w:rPr>
        <w:t xml:space="preserve"> kn</w:t>
      </w:r>
    </w:p>
    <w:p w14:paraId="491CFD49" w14:textId="77777777" w:rsidR="00663A3E" w:rsidRDefault="00663A3E" w:rsidP="004154E0">
      <w:r>
        <w:t>Rezultat: manjak prihoda od nefinancijske imovine</w:t>
      </w:r>
      <w:r w:rsidR="00C745F6">
        <w:t xml:space="preserve"> </w:t>
      </w:r>
      <w:r w:rsidR="00C745F6">
        <w:tab/>
      </w:r>
      <w:r w:rsidR="00C745F6">
        <w:tab/>
      </w:r>
      <w:r w:rsidR="00C745F6">
        <w:tab/>
        <w:t xml:space="preserve">     63.015,93</w:t>
      </w:r>
      <w:r w:rsidR="006A5E55">
        <w:t xml:space="preserve"> kn</w:t>
      </w:r>
    </w:p>
    <w:p w14:paraId="782DA98A" w14:textId="77777777" w:rsidR="00663A3E" w:rsidRDefault="00663A3E" w:rsidP="004154E0"/>
    <w:p w14:paraId="0ACE130A" w14:textId="77777777" w:rsidR="00663A3E" w:rsidRDefault="00663A3E" w:rsidP="004154E0">
      <w:r>
        <w:t>Višak prihoda poslovanja</w:t>
      </w:r>
      <w:r w:rsidR="006A5E55">
        <w:t xml:space="preserve"> </w:t>
      </w:r>
      <w:r w:rsidR="008870D1">
        <w:tab/>
      </w:r>
      <w:r w:rsidR="008870D1">
        <w:tab/>
      </w:r>
      <w:r w:rsidR="008870D1">
        <w:tab/>
      </w:r>
      <w:r w:rsidR="008870D1">
        <w:tab/>
      </w:r>
      <w:r w:rsidR="008870D1">
        <w:tab/>
      </w:r>
      <w:r w:rsidR="008870D1">
        <w:tab/>
        <w:t xml:space="preserve">   </w:t>
      </w:r>
      <w:r w:rsidR="00C745F6">
        <w:t>242.326,59</w:t>
      </w:r>
      <w:r w:rsidR="006A5E55">
        <w:t xml:space="preserve"> kn</w:t>
      </w:r>
    </w:p>
    <w:p w14:paraId="1EBD1C82" w14:textId="77777777" w:rsidR="00663A3E" w:rsidRPr="0098677A" w:rsidRDefault="00663A3E" w:rsidP="004154E0">
      <w:pPr>
        <w:rPr>
          <w:u w:val="single"/>
        </w:rPr>
      </w:pPr>
      <w:r w:rsidRPr="0098677A">
        <w:rPr>
          <w:u w:val="single"/>
        </w:rPr>
        <w:t>-Manjak prihoda od nefinancijske imovine</w:t>
      </w:r>
      <w:r w:rsidR="006A5E55" w:rsidRPr="0098677A">
        <w:rPr>
          <w:u w:val="single"/>
        </w:rPr>
        <w:t xml:space="preserve"> </w:t>
      </w:r>
      <w:r w:rsidR="008870D1" w:rsidRPr="0098677A">
        <w:rPr>
          <w:u w:val="single"/>
        </w:rPr>
        <w:tab/>
      </w:r>
      <w:r w:rsidR="008870D1" w:rsidRPr="0098677A">
        <w:rPr>
          <w:u w:val="single"/>
        </w:rPr>
        <w:tab/>
      </w:r>
      <w:r w:rsidR="008870D1" w:rsidRPr="0098677A">
        <w:rPr>
          <w:u w:val="single"/>
        </w:rPr>
        <w:tab/>
      </w:r>
      <w:r w:rsidR="008870D1" w:rsidRPr="0098677A">
        <w:rPr>
          <w:u w:val="single"/>
        </w:rPr>
        <w:tab/>
        <w:t xml:space="preserve">     </w:t>
      </w:r>
      <w:r w:rsidR="00C745F6">
        <w:rPr>
          <w:u w:val="single"/>
        </w:rPr>
        <w:t xml:space="preserve"> 63.015,93</w:t>
      </w:r>
      <w:r w:rsidR="006A5E55" w:rsidRPr="0098677A">
        <w:rPr>
          <w:u w:val="single"/>
        </w:rPr>
        <w:t xml:space="preserve"> kn</w:t>
      </w:r>
    </w:p>
    <w:p w14:paraId="57FB71B4" w14:textId="77777777" w:rsidR="00663A3E" w:rsidRDefault="00663A3E" w:rsidP="004154E0">
      <w:r>
        <w:t>UKUPAN VIŠAK PRIHODA</w:t>
      </w:r>
      <w:r w:rsidR="008870D1">
        <w:t xml:space="preserve">: </w:t>
      </w:r>
      <w:r w:rsidR="006A5E55">
        <w:t xml:space="preserve"> </w:t>
      </w:r>
      <w:r w:rsidR="00C745F6">
        <w:tab/>
      </w:r>
      <w:r w:rsidR="00C745F6">
        <w:tab/>
      </w:r>
      <w:r w:rsidR="00C745F6">
        <w:tab/>
      </w:r>
      <w:r w:rsidR="00C745F6">
        <w:tab/>
      </w:r>
      <w:r w:rsidR="00C745F6">
        <w:tab/>
      </w:r>
      <w:r w:rsidR="00C745F6">
        <w:tab/>
        <w:t xml:space="preserve">   179.310,66</w:t>
      </w:r>
      <w:r w:rsidR="008870D1">
        <w:t xml:space="preserve"> kn</w:t>
      </w:r>
      <w:r w:rsidR="007F5FE2">
        <w:t xml:space="preserve"> </w:t>
      </w:r>
    </w:p>
    <w:p w14:paraId="6445F55C" w14:textId="77777777" w:rsidR="00FB6D47" w:rsidRDefault="00FB6D47" w:rsidP="004154E0"/>
    <w:p w14:paraId="6AE2A4A2" w14:textId="77777777" w:rsidR="008870D1" w:rsidRDefault="008870D1" w:rsidP="004154E0">
      <w:pPr>
        <w:rPr>
          <w:b/>
        </w:rPr>
      </w:pPr>
      <w:r w:rsidRPr="000A107B">
        <w:rPr>
          <w:b/>
        </w:rPr>
        <w:t>Rezultat poslovanja</w:t>
      </w:r>
      <w:r w:rsidR="00C745F6">
        <w:rPr>
          <w:b/>
        </w:rPr>
        <w:t xml:space="preserve"> za 2020.g.</w:t>
      </w:r>
      <w:r w:rsidRPr="000A107B">
        <w:rPr>
          <w:b/>
        </w:rPr>
        <w:t>: Viša</w:t>
      </w:r>
      <w:r w:rsidR="00C745F6">
        <w:rPr>
          <w:b/>
        </w:rPr>
        <w:t>k prihoda i primitaka 179.310,66</w:t>
      </w:r>
      <w:r w:rsidRPr="000A107B">
        <w:rPr>
          <w:b/>
        </w:rPr>
        <w:t xml:space="preserve"> kn</w:t>
      </w:r>
      <w:r w:rsidR="007F5FE2">
        <w:rPr>
          <w:b/>
        </w:rPr>
        <w:t xml:space="preserve"> (AOP 405)</w:t>
      </w:r>
    </w:p>
    <w:p w14:paraId="13D2CF5E" w14:textId="77777777" w:rsidR="00C745F6" w:rsidRDefault="00C745F6" w:rsidP="004154E0">
      <w:pPr>
        <w:rPr>
          <w:b/>
        </w:rPr>
      </w:pPr>
    </w:p>
    <w:p w14:paraId="196A0E03" w14:textId="77777777" w:rsidR="00C745F6" w:rsidRDefault="00C745F6" w:rsidP="004154E0">
      <w:pPr>
        <w:rPr>
          <w:b/>
        </w:rPr>
      </w:pPr>
      <w:r>
        <w:rPr>
          <w:b/>
        </w:rPr>
        <w:t>Utvrđivanje rezultata raspoloživog za sljedeće razdoblje:</w:t>
      </w:r>
    </w:p>
    <w:p w14:paraId="14A839CC" w14:textId="77777777" w:rsidR="00C745F6" w:rsidRPr="00C745F6" w:rsidRDefault="00C745F6" w:rsidP="004154E0">
      <w:r w:rsidRPr="00C745F6">
        <w:t>Utvrđeni rezultat za 2020.g.             179.310,66 kn</w:t>
      </w:r>
    </w:p>
    <w:p w14:paraId="14BDFD23" w14:textId="77777777" w:rsidR="00C745F6" w:rsidRPr="00C745F6" w:rsidRDefault="00C745F6" w:rsidP="004154E0">
      <w:pPr>
        <w:rPr>
          <w:u w:val="single"/>
        </w:rPr>
      </w:pPr>
      <w:r w:rsidRPr="00C745F6">
        <w:rPr>
          <w:u w:val="single"/>
        </w:rPr>
        <w:t>Preneseni rezultat iz 2019.g.             179.720,37 kn</w:t>
      </w:r>
    </w:p>
    <w:p w14:paraId="57A4D9C4" w14:textId="77777777" w:rsidR="00C745F6" w:rsidRPr="00C745F6" w:rsidRDefault="00C745F6" w:rsidP="004154E0">
      <w:pPr>
        <w:rPr>
          <w:b/>
          <w:u w:val="single"/>
        </w:rPr>
      </w:pPr>
      <w:r>
        <w:rPr>
          <w:b/>
          <w:u w:val="single"/>
        </w:rPr>
        <w:t>Višak prihoda i primitaka raspoloživ u sljedećem razdoblju: 359.031,03   (AOP 635).</w:t>
      </w:r>
    </w:p>
    <w:p w14:paraId="6DE0927A" w14:textId="77777777" w:rsidR="00311242" w:rsidRDefault="00311242" w:rsidP="00502B2C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b/>
          <w:bCs/>
          <w:lang w:eastAsia="hr-HR"/>
        </w:rPr>
      </w:pPr>
    </w:p>
    <w:p w14:paraId="6A431AED" w14:textId="2833FF94" w:rsidR="00502B2C" w:rsidRPr="00502B2C" w:rsidRDefault="00502B2C" w:rsidP="00502B2C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lang w:eastAsia="hr-HR"/>
        </w:rPr>
      </w:pPr>
      <w:r w:rsidRPr="00502B2C">
        <w:rPr>
          <w:rFonts w:ascii="Calibri" w:eastAsia="Times New Roman" w:hAnsi="Calibri" w:cs="Times New Roman"/>
          <w:b/>
          <w:bCs/>
          <w:lang w:eastAsia="hr-HR"/>
        </w:rPr>
        <w:t>Bilješke uz Obrazac RAS-F</w:t>
      </w:r>
    </w:p>
    <w:p w14:paraId="2B6CF76D" w14:textId="79C10D8C" w:rsidR="00502B2C" w:rsidRPr="00502B2C" w:rsidRDefault="002C595F" w:rsidP="00502B2C">
      <w:pPr>
        <w:shd w:val="clear" w:color="auto" w:fill="FFFFFF"/>
        <w:spacing w:line="235" w:lineRule="atLeast"/>
        <w:rPr>
          <w:rFonts w:ascii="Calibri" w:eastAsia="Times New Roman" w:hAnsi="Calibri" w:cs="Times New Roman"/>
          <w:lang w:eastAsia="hr-HR"/>
        </w:rPr>
      </w:pPr>
      <w:r w:rsidRPr="002C595F">
        <w:rPr>
          <w:rFonts w:ascii="Calibri" w:eastAsia="Times New Roman" w:hAnsi="Calibri" w:cs="Times New Roman"/>
          <w:b/>
          <w:bCs/>
          <w:lang w:eastAsia="hr-HR"/>
        </w:rPr>
        <w:t>Bilješka broj 19</w:t>
      </w:r>
      <w:r w:rsidR="00502B2C" w:rsidRPr="00502B2C">
        <w:rPr>
          <w:rFonts w:ascii="Calibri" w:eastAsia="Times New Roman" w:hAnsi="Calibri" w:cs="Times New Roman"/>
          <w:b/>
          <w:bCs/>
          <w:lang w:eastAsia="hr-HR"/>
        </w:rPr>
        <w:t xml:space="preserve"> - AOP 116 – Više srednjoškolsko obrazovanje</w:t>
      </w:r>
      <w:r w:rsidR="00502B2C" w:rsidRPr="00502B2C">
        <w:rPr>
          <w:rFonts w:ascii="Calibri" w:eastAsia="Times New Roman" w:hAnsi="Calibri" w:cs="Times New Roman"/>
          <w:lang w:eastAsia="hr-HR"/>
        </w:rPr>
        <w:t> – Izvještaj o rashodima prema funkcijskoj klasifikaciji sastavlja se na Obrascu: RAS-funkcijski. U obrascu su iskazani rashodi poslovanja i rashodi za nabavu nefinancijske imovine razvrstani prema njihovoj namjeni, a iskazani na poziciji AOP 404 Obrasca PR-RAS. Prema tumačenju Ministarstva znanost</w:t>
      </w:r>
      <w:r w:rsidR="009D0BF4">
        <w:rPr>
          <w:rFonts w:ascii="Calibri" w:eastAsia="Times New Roman" w:hAnsi="Calibri" w:cs="Times New Roman"/>
          <w:lang w:eastAsia="hr-HR"/>
        </w:rPr>
        <w:t>i i obrazovanja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 sv</w:t>
      </w:r>
      <w:r w:rsidR="009D0BF4">
        <w:rPr>
          <w:rFonts w:ascii="Calibri" w:eastAsia="Times New Roman" w:hAnsi="Calibri" w:cs="Times New Roman"/>
          <w:lang w:eastAsia="hr-HR"/>
        </w:rPr>
        <w:t>i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 rashod</w:t>
      </w:r>
      <w:r w:rsidR="009D0BF4">
        <w:rPr>
          <w:rFonts w:ascii="Calibri" w:eastAsia="Times New Roman" w:hAnsi="Calibri" w:cs="Times New Roman"/>
          <w:lang w:eastAsia="hr-HR"/>
        </w:rPr>
        <w:t>i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 ostvaren</w:t>
      </w:r>
      <w:r w:rsidR="009D0BF4">
        <w:rPr>
          <w:rFonts w:ascii="Calibri" w:eastAsia="Times New Roman" w:hAnsi="Calibri" w:cs="Times New Roman"/>
          <w:lang w:eastAsia="hr-HR"/>
        </w:rPr>
        <w:t>i</w:t>
      </w:r>
      <w:r w:rsidR="00502B2C" w:rsidRPr="00502B2C">
        <w:rPr>
          <w:rFonts w:ascii="Calibri" w:eastAsia="Times New Roman" w:hAnsi="Calibri" w:cs="Times New Roman"/>
          <w:lang w:eastAsia="hr-HR"/>
        </w:rPr>
        <w:t xml:space="preserve"> u 2020.g. bez prenesenog rezultata iskazuju se na jednoj funkciji </w:t>
      </w:r>
      <w:r w:rsidR="00EB2D16">
        <w:rPr>
          <w:rFonts w:ascii="Calibri" w:eastAsia="Times New Roman" w:hAnsi="Calibri" w:cs="Times New Roman"/>
          <w:lang w:eastAsia="hr-HR"/>
        </w:rPr>
        <w:t xml:space="preserve">- </w:t>
      </w:r>
      <w:r w:rsidR="00502B2C" w:rsidRPr="00502B2C">
        <w:rPr>
          <w:rFonts w:ascii="Calibri" w:eastAsia="Times New Roman" w:hAnsi="Calibri" w:cs="Times New Roman"/>
          <w:lang w:eastAsia="hr-HR"/>
        </w:rPr>
        <w:t>0922 Više srednjoškolsko obrazovanje – 12.113.621 kn.</w:t>
      </w:r>
    </w:p>
    <w:p w14:paraId="0E5CD7B5" w14:textId="77777777" w:rsidR="00502B2C" w:rsidRDefault="00502B2C" w:rsidP="004154E0"/>
    <w:p w14:paraId="1ACBFCB2" w14:textId="77777777" w:rsidR="004154E0" w:rsidRPr="007F5FE2" w:rsidRDefault="004154E0" w:rsidP="007F5FE2">
      <w:pPr>
        <w:jc w:val="center"/>
        <w:rPr>
          <w:b/>
        </w:rPr>
      </w:pPr>
      <w:r w:rsidRPr="000A107B">
        <w:rPr>
          <w:b/>
        </w:rPr>
        <w:t>Bilješke uz Obrazac PVRIO</w:t>
      </w:r>
    </w:p>
    <w:p w14:paraId="1EA9E626" w14:textId="7E31AE70" w:rsidR="004154E0" w:rsidRDefault="004154E0" w:rsidP="004154E0">
      <w:r w:rsidRPr="000A107B">
        <w:rPr>
          <w:b/>
        </w:rPr>
        <w:t xml:space="preserve">Bilješka broj </w:t>
      </w:r>
      <w:r w:rsidR="002C595F">
        <w:rPr>
          <w:b/>
        </w:rPr>
        <w:t>20</w:t>
      </w:r>
      <w:r w:rsidR="00EB2D16">
        <w:rPr>
          <w:b/>
        </w:rPr>
        <w:t xml:space="preserve"> </w:t>
      </w:r>
      <w:r w:rsidRPr="000A107B">
        <w:rPr>
          <w:b/>
        </w:rPr>
        <w:t xml:space="preserve">- </w:t>
      </w:r>
      <w:r w:rsidRPr="00EB2D16">
        <w:rPr>
          <w:bCs/>
        </w:rPr>
        <w:t>Obrazac PVRIO</w:t>
      </w:r>
      <w:r>
        <w:t xml:space="preserve"> prikazuje promjene u obujmu i vrijednosti imovine. Gimnazija „Matija Mesić“ nije zabilježila u poslovnim događajima promjene u</w:t>
      </w:r>
      <w:r w:rsidR="007F5FE2">
        <w:t xml:space="preserve"> vrijednosti i obujmu imovine. </w:t>
      </w:r>
    </w:p>
    <w:p w14:paraId="76EEFD18" w14:textId="77777777" w:rsidR="00CF1C3A" w:rsidRPr="00EB2D16" w:rsidRDefault="00CF1C3A" w:rsidP="00CF1C3A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b/>
          <w:lang w:eastAsia="hr-HR"/>
        </w:rPr>
      </w:pPr>
      <w:r w:rsidRPr="00EB2D16">
        <w:rPr>
          <w:rFonts w:ascii="Calibri" w:eastAsia="Times New Roman" w:hAnsi="Calibri" w:cs="Times New Roman"/>
          <w:b/>
          <w:lang w:eastAsia="hr-HR"/>
        </w:rPr>
        <w:t>Bilješke uz Obrazac OBVEZE</w:t>
      </w:r>
    </w:p>
    <w:p w14:paraId="497071E3" w14:textId="77777777" w:rsidR="00CF1C3A" w:rsidRPr="00CF1C3A" w:rsidRDefault="002C595F" w:rsidP="00CF1C3A">
      <w:pPr>
        <w:shd w:val="clear" w:color="auto" w:fill="FFFFFF"/>
        <w:spacing w:line="235" w:lineRule="atLeast"/>
        <w:rPr>
          <w:rFonts w:ascii="Calibri" w:eastAsia="Times New Roman" w:hAnsi="Calibri" w:cs="Times New Roman"/>
          <w:lang w:eastAsia="hr-HR"/>
        </w:rPr>
      </w:pPr>
      <w:r w:rsidRPr="00EB2D16">
        <w:rPr>
          <w:rFonts w:ascii="Calibri" w:eastAsia="Times New Roman" w:hAnsi="Calibri" w:cs="Times New Roman"/>
          <w:b/>
          <w:lang w:eastAsia="hr-HR"/>
        </w:rPr>
        <w:t>Bilješka broj 21</w:t>
      </w:r>
      <w:r w:rsidR="00CF1C3A" w:rsidRPr="00EB2D16">
        <w:rPr>
          <w:rFonts w:ascii="Calibri" w:eastAsia="Times New Roman" w:hAnsi="Calibri" w:cs="Times New Roman"/>
          <w:b/>
          <w:lang w:eastAsia="hr-HR"/>
        </w:rPr>
        <w:t xml:space="preserve"> - AOP 001 – Stanje obveza 1. siječnja</w:t>
      </w:r>
      <w:r w:rsidR="00CF1C3A" w:rsidRPr="00CF1C3A">
        <w:rPr>
          <w:rFonts w:ascii="Calibri" w:eastAsia="Times New Roman" w:hAnsi="Calibri" w:cs="Times New Roman"/>
          <w:lang w:eastAsia="hr-HR"/>
        </w:rPr>
        <w:t> –</w:t>
      </w:r>
      <w:r w:rsidR="00CF1C3A" w:rsidRPr="002C595F">
        <w:rPr>
          <w:rFonts w:ascii="Calibri" w:eastAsia="Times New Roman" w:hAnsi="Calibri" w:cs="Times New Roman"/>
          <w:lang w:eastAsia="hr-HR"/>
        </w:rPr>
        <w:t xml:space="preserve"> </w:t>
      </w:r>
      <w:r w:rsidR="00CF1C3A" w:rsidRPr="00CF1C3A">
        <w:rPr>
          <w:rFonts w:ascii="Calibri" w:eastAsia="Times New Roman" w:hAnsi="Calibri" w:cs="Times New Roman"/>
          <w:lang w:eastAsia="hr-HR"/>
        </w:rPr>
        <w:t>Stanje obveza na početku izvještajnog razdob</w:t>
      </w:r>
      <w:r w:rsidR="00CF1C3A" w:rsidRPr="002C595F">
        <w:rPr>
          <w:rFonts w:ascii="Calibri" w:eastAsia="Times New Roman" w:hAnsi="Calibri" w:cs="Times New Roman"/>
          <w:lang w:eastAsia="hr-HR"/>
        </w:rPr>
        <w:t>lja iznosilo je 1.166.163,96 kn te je preuzeto iz Izvještaja o obvezama za prethodno razdoblje s AOP-a 036 predanog za 2019.g. kao stanje obveza na kraju izvještajnog razdoblja.</w:t>
      </w:r>
    </w:p>
    <w:p w14:paraId="79CDE827" w14:textId="32044BC6" w:rsidR="003228F6" w:rsidRPr="002C595F" w:rsidRDefault="002C595F" w:rsidP="00CF1C3A">
      <w:pPr>
        <w:shd w:val="clear" w:color="auto" w:fill="FFFFFF"/>
        <w:spacing w:line="235" w:lineRule="atLeast"/>
        <w:rPr>
          <w:rFonts w:ascii="Calibri" w:eastAsia="Times New Roman" w:hAnsi="Calibri" w:cs="Times New Roman"/>
          <w:lang w:eastAsia="hr-HR"/>
        </w:rPr>
      </w:pPr>
      <w:r w:rsidRPr="00EB2D16">
        <w:rPr>
          <w:rFonts w:ascii="Calibri" w:eastAsia="Times New Roman" w:hAnsi="Calibri" w:cs="Times New Roman"/>
          <w:b/>
          <w:lang w:eastAsia="hr-HR"/>
        </w:rPr>
        <w:t>Bilješka broj 22</w:t>
      </w:r>
      <w:r w:rsidR="00CF1C3A" w:rsidRPr="00EB2D16">
        <w:rPr>
          <w:rFonts w:ascii="Calibri" w:eastAsia="Times New Roman" w:hAnsi="Calibri" w:cs="Times New Roman"/>
          <w:b/>
          <w:lang w:eastAsia="hr-HR"/>
        </w:rPr>
        <w:t>- AOP 036 – Stanje obveza na kraju izvještajnog razdoblja</w:t>
      </w:r>
      <w:r w:rsidR="00CF1C3A" w:rsidRPr="00CF1C3A">
        <w:rPr>
          <w:rFonts w:ascii="Calibri" w:eastAsia="Times New Roman" w:hAnsi="Calibri" w:cs="Times New Roman"/>
          <w:lang w:eastAsia="hr-HR"/>
        </w:rPr>
        <w:t> – Stanje obveza na kraju 2020.g. iznosi 1.073.946 kn kao što je prikazano na obrascu na AOP-u 036, a jednako stanje iskazano je i u obrascu Bilanca na AOP-u 169. Na dan 31.12.2020.g. obveze za rashode dospjele su u vrijednosti 6.431,00 kn te se kao takve odnose na kašnjenje do 60 dana.</w:t>
      </w:r>
      <w:r w:rsidR="00CF1C3A" w:rsidRPr="002C595F">
        <w:rPr>
          <w:rFonts w:ascii="Calibri" w:eastAsia="Times New Roman" w:hAnsi="Calibri" w:cs="Times New Roman"/>
          <w:lang w:eastAsia="hr-HR"/>
        </w:rPr>
        <w:t xml:space="preserve"> Riječ je o jedn</w:t>
      </w:r>
      <w:r w:rsidR="00A82D81">
        <w:rPr>
          <w:rFonts w:ascii="Calibri" w:eastAsia="Times New Roman" w:hAnsi="Calibri" w:cs="Times New Roman"/>
          <w:lang w:eastAsia="hr-HR"/>
        </w:rPr>
        <w:t>oj obvezi za materijalne rashode</w:t>
      </w:r>
      <w:r w:rsidR="00CF1C3A" w:rsidRPr="002C595F">
        <w:rPr>
          <w:rFonts w:ascii="Calibri" w:eastAsia="Times New Roman" w:hAnsi="Calibri" w:cs="Times New Roman"/>
          <w:lang w:eastAsia="hr-HR"/>
        </w:rPr>
        <w:t xml:space="preserve"> uz kašnjenje od 1 dan.</w:t>
      </w:r>
      <w:r w:rsidR="00CF1C3A" w:rsidRPr="00CF1C3A">
        <w:rPr>
          <w:rFonts w:ascii="Calibri" w:eastAsia="Times New Roman" w:hAnsi="Calibri" w:cs="Times New Roman"/>
          <w:lang w:eastAsia="hr-HR"/>
        </w:rPr>
        <w:t> </w:t>
      </w:r>
    </w:p>
    <w:p w14:paraId="6B502670" w14:textId="77777777" w:rsidR="003228F6" w:rsidRDefault="003228F6" w:rsidP="004154E0">
      <w:r>
        <w:t xml:space="preserve">S poštovanjem, </w:t>
      </w:r>
    </w:p>
    <w:p w14:paraId="7CDF83B4" w14:textId="77777777" w:rsidR="003228F6" w:rsidRDefault="003228F6" w:rsidP="004154E0"/>
    <w:p w14:paraId="25CC9BAF" w14:textId="77777777" w:rsidR="003228F6" w:rsidRDefault="002C595F" w:rsidP="000A107B">
      <w:pPr>
        <w:ind w:left="4248"/>
        <w:jc w:val="center"/>
      </w:pPr>
      <w:r>
        <w:t>v.d. ravnatelja</w:t>
      </w:r>
      <w:r w:rsidR="003228F6">
        <w:t>:</w:t>
      </w:r>
    </w:p>
    <w:p w14:paraId="357D55D4" w14:textId="29E8D5D3" w:rsidR="003228F6" w:rsidRDefault="00236776" w:rsidP="000A107B">
      <w:pPr>
        <w:ind w:left="4248"/>
        <w:jc w:val="center"/>
      </w:pPr>
      <w:r>
        <w:t xml:space="preserve">Ines Martinović, prof. </w:t>
      </w:r>
    </w:p>
    <w:p w14:paraId="245263E9" w14:textId="77777777" w:rsidR="003228F6" w:rsidRDefault="003228F6" w:rsidP="000A107B">
      <w:pPr>
        <w:ind w:left="4248"/>
        <w:jc w:val="center"/>
      </w:pPr>
    </w:p>
    <w:p w14:paraId="07CF9679" w14:textId="77777777" w:rsidR="003228F6" w:rsidRDefault="003228F6" w:rsidP="000A107B">
      <w:pPr>
        <w:ind w:left="4248"/>
        <w:jc w:val="center"/>
      </w:pPr>
      <w:r>
        <w:t>_________________________________________</w:t>
      </w:r>
    </w:p>
    <w:sectPr w:rsidR="0032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5B5"/>
    <w:multiLevelType w:val="hybridMultilevel"/>
    <w:tmpl w:val="6E3A2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6A1"/>
    <w:multiLevelType w:val="hybridMultilevel"/>
    <w:tmpl w:val="6A34B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684C"/>
    <w:multiLevelType w:val="hybridMultilevel"/>
    <w:tmpl w:val="C480E170"/>
    <w:lvl w:ilvl="0" w:tplc="2B46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F"/>
    <w:rsid w:val="00037F60"/>
    <w:rsid w:val="00057696"/>
    <w:rsid w:val="00097027"/>
    <w:rsid w:val="000974D9"/>
    <w:rsid w:val="000A107B"/>
    <w:rsid w:val="0010194F"/>
    <w:rsid w:val="00125D78"/>
    <w:rsid w:val="00140476"/>
    <w:rsid w:val="00153549"/>
    <w:rsid w:val="00157A92"/>
    <w:rsid w:val="0016086A"/>
    <w:rsid w:val="00181935"/>
    <w:rsid w:val="001A6A26"/>
    <w:rsid w:val="001B2968"/>
    <w:rsid w:val="00236776"/>
    <w:rsid w:val="00283A3D"/>
    <w:rsid w:val="002B11DF"/>
    <w:rsid w:val="002B3EB3"/>
    <w:rsid w:val="002C595F"/>
    <w:rsid w:val="00311242"/>
    <w:rsid w:val="0031493F"/>
    <w:rsid w:val="003228F6"/>
    <w:rsid w:val="00357FB1"/>
    <w:rsid w:val="0036306D"/>
    <w:rsid w:val="003C3C0C"/>
    <w:rsid w:val="003D1F5A"/>
    <w:rsid w:val="003F76BF"/>
    <w:rsid w:val="004154E0"/>
    <w:rsid w:val="004777D5"/>
    <w:rsid w:val="00477CCD"/>
    <w:rsid w:val="00494FF0"/>
    <w:rsid w:val="004B109B"/>
    <w:rsid w:val="004C4F37"/>
    <w:rsid w:val="004D0EFE"/>
    <w:rsid w:val="00502B2C"/>
    <w:rsid w:val="00516538"/>
    <w:rsid w:val="00526013"/>
    <w:rsid w:val="00540FFD"/>
    <w:rsid w:val="00594AE0"/>
    <w:rsid w:val="005A7C2C"/>
    <w:rsid w:val="006128B4"/>
    <w:rsid w:val="00641840"/>
    <w:rsid w:val="00663A3E"/>
    <w:rsid w:val="00681BD0"/>
    <w:rsid w:val="006A3A41"/>
    <w:rsid w:val="006A5E55"/>
    <w:rsid w:val="006B4C63"/>
    <w:rsid w:val="006E0742"/>
    <w:rsid w:val="00745D70"/>
    <w:rsid w:val="007C366C"/>
    <w:rsid w:val="007C7960"/>
    <w:rsid w:val="007D3206"/>
    <w:rsid w:val="007F5FE2"/>
    <w:rsid w:val="00813177"/>
    <w:rsid w:val="00844982"/>
    <w:rsid w:val="00874584"/>
    <w:rsid w:val="00883B8D"/>
    <w:rsid w:val="008870D1"/>
    <w:rsid w:val="008A295F"/>
    <w:rsid w:val="008C1A18"/>
    <w:rsid w:val="008E0E26"/>
    <w:rsid w:val="00916F98"/>
    <w:rsid w:val="0098677A"/>
    <w:rsid w:val="00991D15"/>
    <w:rsid w:val="009D0BF4"/>
    <w:rsid w:val="00A23E92"/>
    <w:rsid w:val="00A65B09"/>
    <w:rsid w:val="00A765F3"/>
    <w:rsid w:val="00A82D81"/>
    <w:rsid w:val="00AE7F17"/>
    <w:rsid w:val="00AF1A5A"/>
    <w:rsid w:val="00B20C9F"/>
    <w:rsid w:val="00B3500D"/>
    <w:rsid w:val="00B921D3"/>
    <w:rsid w:val="00C41B6C"/>
    <w:rsid w:val="00C46DA7"/>
    <w:rsid w:val="00C70525"/>
    <w:rsid w:val="00C745F6"/>
    <w:rsid w:val="00CF1C3A"/>
    <w:rsid w:val="00D027DC"/>
    <w:rsid w:val="00D14306"/>
    <w:rsid w:val="00D1738B"/>
    <w:rsid w:val="00E5772A"/>
    <w:rsid w:val="00E9393D"/>
    <w:rsid w:val="00EA1EBD"/>
    <w:rsid w:val="00EB2D16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F73F"/>
  <w15:chartTrackingRefBased/>
  <w15:docId w15:val="{7CEBBCE4-C52A-4F04-8525-D470D86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4E0"/>
    <w:pPr>
      <w:ind w:left="720"/>
      <w:contextualSpacing/>
    </w:pPr>
  </w:style>
  <w:style w:type="table" w:styleId="Reetkatablice">
    <w:name w:val="Table Grid"/>
    <w:basedOn w:val="Obinatablica"/>
    <w:uiPriority w:val="39"/>
    <w:rsid w:val="00D1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2021-01-29T08:59:00Z</cp:lastPrinted>
  <dcterms:created xsi:type="dcterms:W3CDTF">2021-01-27T17:19:00Z</dcterms:created>
  <dcterms:modified xsi:type="dcterms:W3CDTF">2021-01-29T09:04:00Z</dcterms:modified>
</cp:coreProperties>
</file>